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F7F" w:rsidRDefault="00B36F7F" w:rsidP="004879EB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imes New Roman" w:hAnsi="Times New Roman" w:cs="Times New Roman"/>
          <w:color w:val="auto"/>
          <w:sz w:val="20"/>
          <w:szCs w:val="20"/>
          <w:lang w:val="pt-BR"/>
        </w:rPr>
      </w:pPr>
      <w:r>
        <w:rPr>
          <w:noProof/>
          <w:lang w:val="pt-BR"/>
        </w:rPr>
        <w:pict>
          <v:rect id="Retângulo 5" o:spid="_x0000_s1026" style="position:absolute;margin-left:23.25pt;margin-top:123pt;width:548.5pt;height:99.4pt;z-index:251656192;visibility:visible;mso-wrap-distance-left:12pt;mso-wrap-distance-top:12pt;mso-wrap-distance-right:12pt;mso-wrap-distance-bottom:12pt;mso-position-horizontal-relative:page;mso-position-vertical-relative:page" filled="f" stroked="f" strokeweight="1pt">
            <v:path arrowok="t"/>
            <v:textbox inset="0,0,0,0">
              <w:txbxContent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Pró-Reitoria Acadêmica</w:t>
                  </w:r>
                </w:p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Curso de Medicina</w:t>
                  </w:r>
                </w:p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Seminário de Pediatria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lang w:val="pt-BR"/>
        </w:rPr>
        <w:pict>
          <v:rect id="Retângulo 4" o:spid="_x0000_s1027" style="position:absolute;margin-left:32.95pt;margin-top:352pt;width:532.05pt;height:84.05pt;z-index:251657216;visibility:visible;mso-wrap-distance-left:12pt;mso-wrap-distance-top:12pt;mso-wrap-distance-right:12pt;mso-wrap-distance-bottom:12pt;mso-position-horizontal-relative:page;mso-position-vertical-relative:page" filled="f" stroked="f" strokeweight="1pt">
            <v:path arrowok="t"/>
            <v:textbox inset="0,0,0,0">
              <w:txbxContent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Cetoacidose Diabética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lang w:val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2" o:spid="_x0000_s1028" type="#_x0000_t75" style="position:absolute;margin-left:-1.5pt;margin-top:-1.5pt;width:598pt;height:846.2pt;z-index:251655168;visibility:visible;mso-position-horizontal-relative:page;mso-position-vertical-relative:page">
            <v:imagedata r:id="rId7" o:title=""/>
            <w10:wrap anchorx="page" anchory="page"/>
          </v:shape>
        </w:pict>
      </w:r>
      <w:r>
        <w:rPr>
          <w:noProof/>
          <w:lang w:val="pt-BR"/>
        </w:rPr>
        <w:pict>
          <v:rect id="Retângulo 1" o:spid="_x0000_s1029" style="position:absolute;margin-left:-11.5pt;margin-top:507.5pt;width:554.75pt;height:57.25pt;z-index:251658240;visibility:visible;mso-wrap-distance-left:12pt;mso-wrap-distance-top:12pt;mso-wrap-distance-right:12pt;mso-wrap-distance-bottom:12pt;mso-position-horizontal-relative:page;mso-position-vertical-relative:page" filled="f" stroked="f" strokeweight="1pt">
            <v:path arrowok="t"/>
            <v:textbox inset="0,0,0,0">
              <w:txbxContent>
                <w:p w:rsidR="00B36F7F" w:rsidRPr="00D96863" w:rsidRDefault="00B36F7F" w:rsidP="004879EB">
                  <w:pPr>
                    <w:jc w:val="right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Autor: Camila Martins de Oliveira</w:t>
                  </w:r>
                </w:p>
                <w:p w:rsidR="00B36F7F" w:rsidRPr="00D96863" w:rsidRDefault="00B36F7F" w:rsidP="004879EB">
                  <w:pPr>
                    <w:jc w:val="right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  <w:lang w:eastAsia="pt-BR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Orientador:  Profª Dra. Carmen Lívia Martins</w:t>
                  </w:r>
                </w:p>
              </w:txbxContent>
            </v:textbox>
            <w10:wrap anchorx="page" anchory="page"/>
          </v:rect>
        </w:pict>
      </w:r>
    </w:p>
    <w:p w:rsidR="00B36F7F" w:rsidRDefault="00B36F7F"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in;margin-top:708.5pt;width:2in;height:27pt;z-index:251660288">
            <v:textbox>
              <w:txbxContent>
                <w:p w:rsidR="00B36F7F" w:rsidRDefault="00B36F7F">
                  <w:r>
                    <w:t xml:space="preserve">www.paulomargotto.com.br </w:t>
                  </w:r>
                </w:p>
              </w:txbxContent>
            </v:textbox>
          </v:shape>
        </w:pict>
      </w:r>
      <w:r>
        <w:rPr>
          <w:noProof/>
          <w:lang w:eastAsia="pt-BR"/>
        </w:rPr>
        <w:pict>
          <v:rect id="Retângulo 3" o:spid="_x0000_s1031" style="position:absolute;margin-left:191.15pt;margin-top:726.2pt;width:212.9pt;height:52.2pt;z-index:251659264;visibility:visible;mso-wrap-distance-left:12pt;mso-wrap-distance-top:12pt;mso-wrap-distance-right:12pt;mso-wrap-distance-bottom:12pt;mso-position-horizontal-relative:page;mso-position-vertical-relative:page" filled="f" stroked="f" strokeweight="1pt">
            <v:path arrowok="t"/>
            <v:textbox inset="0,0,0,0">
              <w:txbxContent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Brasília - DF</w:t>
                  </w:r>
                </w:p>
                <w:p w:rsidR="00B36F7F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  <w:r w:rsidRPr="00D96863"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  <w:t>2016</w:t>
                  </w:r>
                </w:p>
                <w:p w:rsidR="00B36F7F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</w:p>
                <w:p w:rsidR="00B36F7F" w:rsidRPr="00D96863" w:rsidRDefault="00B36F7F" w:rsidP="004879EB">
                  <w:pPr>
                    <w:jc w:val="center"/>
                    <w:rPr>
                      <w:rFonts w:ascii="Arial" w:hAnsi="Arial" w:cs="Arial"/>
                      <w:b/>
                      <w:bCs/>
                      <w:color w:val="1F4E79"/>
                      <w:sz w:val="36"/>
                      <w:szCs w:val="36"/>
                    </w:rPr>
                  </w:pPr>
                </w:p>
                <w:p w:rsidR="00B36F7F" w:rsidRDefault="00B36F7F" w:rsidP="004879EB"/>
                <w:p w:rsidR="00B36F7F" w:rsidRPr="00535941" w:rsidRDefault="00B36F7F" w:rsidP="004879EB">
                  <w:pPr>
                    <w:rPr>
                      <w:sz w:val="20"/>
                      <w:szCs w:val="20"/>
                      <w:lang w:eastAsia="pt-BR"/>
                    </w:rPr>
                  </w:pPr>
                </w:p>
              </w:txbxContent>
            </v:textbox>
            <w10:wrap anchorx="page" anchory="page"/>
          </v:rect>
        </w:pict>
      </w:r>
      <w:r>
        <w:br w:type="page"/>
      </w:r>
    </w:p>
    <w:p w:rsidR="00B36F7F" w:rsidRPr="00633350" w:rsidRDefault="00B36F7F" w:rsidP="00633350">
      <w:pPr>
        <w:spacing w:after="0" w:line="240" w:lineRule="auto"/>
        <w:rPr>
          <w:sz w:val="32"/>
          <w:szCs w:val="32"/>
        </w:rPr>
      </w:pPr>
      <w:r w:rsidRPr="00633350">
        <w:rPr>
          <w:sz w:val="32"/>
          <w:szCs w:val="32"/>
        </w:rPr>
        <w:t>Cetoacidose Diabética</w:t>
      </w:r>
    </w:p>
    <w:p w:rsidR="00B36F7F" w:rsidRDefault="00B36F7F" w:rsidP="00633350">
      <w:pPr>
        <w:pStyle w:val="ListParagraph"/>
        <w:spacing w:after="0" w:line="240" w:lineRule="auto"/>
        <w:rPr>
          <w:b/>
          <w:bCs/>
        </w:rPr>
      </w:pPr>
    </w:p>
    <w:p w:rsidR="00B36F7F" w:rsidRPr="00633350" w:rsidRDefault="00B36F7F" w:rsidP="00633350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</w:rPr>
      </w:pPr>
      <w:r w:rsidRPr="00633350">
        <w:rPr>
          <w:b/>
          <w:bCs/>
        </w:rPr>
        <w:t>Introdução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>O diabetes mellitus tipo 1 é uma doença auto-imune que afeta milhares de crianças pelo mundo.</w:t>
      </w:r>
    </w:p>
    <w:p w:rsidR="00B36F7F" w:rsidRPr="00633350" w:rsidRDefault="00B36F7F" w:rsidP="00633350">
      <w:pPr>
        <w:spacing w:after="0" w:line="240" w:lineRule="auto"/>
      </w:pPr>
      <w:r w:rsidRPr="00633350">
        <w:t>A patologia do diabetes mellitus tipo 1 envolve a destruição progressiva das células ß do pâncreas, levando a uma deficiência de insulina e a alterações daí resultantes. O quadro de hiperglicemia associada a um aumento na produção de corpos cetônicos é conhecido como cetoacidose diabética (CAD).</w:t>
      </w:r>
    </w:p>
    <w:p w:rsidR="00B36F7F" w:rsidRDefault="00B36F7F" w:rsidP="00633350">
      <w:pPr>
        <w:spacing w:after="0" w:line="240" w:lineRule="auto"/>
      </w:pPr>
      <w:r w:rsidRPr="00633350">
        <w:t>A hiperglicemia leva à glicosúria e à desidratação, enquanto que a produção excessiva de corpos cetônicos agrava a acidose metabólica decorrente da desidratação. A cetoacidose diabética, se não tratada adequadamente, pode levar ao coma e à morte. Em crianças, a principal complicação da terapia para a cetoacidose diabética é o edema cerebral.</w:t>
      </w:r>
    </w:p>
    <w:p w:rsidR="00B36F7F" w:rsidRPr="00633350" w:rsidRDefault="00B36F7F" w:rsidP="00633350">
      <w:pPr>
        <w:spacing w:after="0" w:line="240" w:lineRule="auto"/>
      </w:pPr>
    </w:p>
    <w:p w:rsidR="00B36F7F" w:rsidRDefault="00B36F7F" w:rsidP="00633350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</w:rPr>
      </w:pPr>
      <w:r w:rsidRPr="00633350">
        <w:rPr>
          <w:b/>
          <w:bCs/>
        </w:rPr>
        <w:t>Definição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  <w:rPr>
          <w:b/>
          <w:bCs/>
        </w:rPr>
      </w:pPr>
      <w:r w:rsidRPr="00633350">
        <w:t>Não existe um consenso na literatura sobre a definição de cetoacidose diabética. A cetoacidose diabética está presente quando existe uma acidose metabólica com um pH arterial abaixo de 7,3 ou um bicarbonato plasmático abaixo de 15 mEq/dl, e um aumento inapropriado na concentração de corpos cetônicos no sangue e, conseqüentemente, na urina. A glicemia normalmente está elevada, acima de 240 mg/dl, mas pode estar normal.</w:t>
      </w:r>
    </w:p>
    <w:p w:rsidR="00B36F7F" w:rsidRDefault="00B36F7F" w:rsidP="00633350">
      <w:pPr>
        <w:pStyle w:val="ListParagraph"/>
        <w:spacing w:after="0" w:line="240" w:lineRule="auto"/>
        <w:rPr>
          <w:b/>
          <w:bCs/>
        </w:rPr>
      </w:pPr>
    </w:p>
    <w:p w:rsidR="00B36F7F" w:rsidRDefault="00B36F7F" w:rsidP="00633350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</w:rPr>
      </w:pPr>
      <w:r w:rsidRPr="00633350">
        <w:rPr>
          <w:b/>
          <w:bCs/>
        </w:rPr>
        <w:t>Fisiopatologia</w:t>
      </w:r>
    </w:p>
    <w:p w:rsidR="00B36F7F" w:rsidRPr="00633350" w:rsidRDefault="00B36F7F" w:rsidP="00633350">
      <w:pPr>
        <w:pStyle w:val="ListParagraph"/>
        <w:spacing w:after="0" w:line="240" w:lineRule="auto"/>
        <w:rPr>
          <w:b/>
          <w:bCs/>
        </w:rPr>
      </w:pPr>
    </w:p>
    <w:p w:rsidR="00B36F7F" w:rsidRPr="00633350" w:rsidRDefault="00B36F7F" w:rsidP="00633350">
      <w:pPr>
        <w:spacing w:after="0" w:line="240" w:lineRule="auto"/>
      </w:pPr>
      <w:r w:rsidRPr="00633350">
        <w:t xml:space="preserve">As principais causas para as alterações metabólicas encontradas na cetoacidose diabética são: 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1) a perda do transporte de glicose para dentro dos tecidos periféricos, como músculos e gordura, já que este transporte depende de insulina, 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2) aumento da gluconeogênese e glicogenólise hepáticas, e </w:t>
      </w:r>
    </w:p>
    <w:p w:rsidR="00B36F7F" w:rsidRPr="00633350" w:rsidRDefault="00B36F7F" w:rsidP="00633350">
      <w:pPr>
        <w:spacing w:after="0" w:line="240" w:lineRule="auto"/>
      </w:pPr>
      <w:r w:rsidRPr="00633350">
        <w:t>3) disinibição da quebra de gordura, proteínas e glicogênio.</w:t>
      </w:r>
    </w:p>
    <w:p w:rsidR="00B36F7F" w:rsidRPr="00633350" w:rsidRDefault="00B36F7F" w:rsidP="00633350">
      <w:pPr>
        <w:spacing w:after="0" w:line="240" w:lineRule="auto"/>
      </w:pPr>
      <w:r w:rsidRPr="00633350">
        <w:t>Com isso, a deficiência de insulina leva a uma hiperglicemia (devido a uma diminuição da utilização periférica e ao aumento da produção hepática de glicose) e à acidose devido à produção de corpos cetônicos pelo fígado.</w:t>
      </w:r>
    </w:p>
    <w:p w:rsidR="00B36F7F" w:rsidRDefault="00B36F7F" w:rsidP="00633350">
      <w:pPr>
        <w:spacing w:after="0" w:line="240" w:lineRule="auto"/>
      </w:pPr>
      <w:r w:rsidRPr="00633350">
        <w:t xml:space="preserve"> A Hiperglicemia produz uma diurese osmótica (glicosúria) quando o limiar renal é excedido (180mg/dL)</w:t>
      </w:r>
      <w:r>
        <w:t xml:space="preserve">. </w:t>
      </w:r>
      <w:r w:rsidRPr="00633350">
        <w:t>A perda resultante de calorias e eletrólitos, bem como a desidratação persistente, produz um estresse fisiológico com hipersecreção de hormônios do estresse. Esses hormônios por sua vez contribuem para uma descompensação metabólica ao prejudicarem ainda mais a secreção de insulina, a antagonizarem sua ação</w:t>
      </w:r>
      <w:r>
        <w:t xml:space="preserve"> </w:t>
      </w:r>
      <w:r w:rsidRPr="00633350">
        <w:t>e ao promoverem glicogenólise, gliconeogênese, lipólise e cetogênese, ao mesmo tempo que diminuem a utilização de glicose e a depuração de glicose .A combinação de deficiência de insulina e valores plasmáticos elevados dos hormônios contrarreguladores é também responsável por lipólise acelerada e síntese prejudicada de lipídios, com resultantes concentrações plasmáticas aumentadas de lipídios totais, colesterol, triglicerídeos e ácidos graxos livres.</w:t>
      </w:r>
    </w:p>
    <w:p w:rsidR="00B36F7F" w:rsidRDefault="00B36F7F" w:rsidP="00633350">
      <w:pPr>
        <w:spacing w:after="0" w:line="240" w:lineRule="auto"/>
      </w:pPr>
      <w:r w:rsidRPr="00633350">
        <w:t>A interação hormonal da deficiência de insulina e do excesso de glucagon desvia os ácidos graxos livres para a formação de corpos cetônicos. A taxa de formação desses corpos cetônicos, principalmente o beta-hidroxibutirato e o acetato, excede a capacidade de utilização periférica e excreção renal. O acúmulo desses cetoácidos resulta em acidose metabólica (cetoacidose diabética, CAD) e respiração profunda rápida compensatória em uma tentativa de excretar o excesso de CO</w:t>
      </w:r>
      <w:r w:rsidRPr="00F03D3A">
        <w:rPr>
          <w:vertAlign w:val="subscript"/>
        </w:rPr>
        <w:t>²</w:t>
      </w:r>
      <w:r w:rsidRPr="00633350">
        <w:t xml:space="preserve"> (respiração de Kussmaul)</w:t>
      </w:r>
      <w:r>
        <w:t>.</w:t>
      </w:r>
    </w:p>
    <w:p w:rsidR="00B36F7F" w:rsidRPr="00633350" w:rsidRDefault="00B36F7F" w:rsidP="00633350">
      <w:pPr>
        <w:spacing w:after="0" w:line="240" w:lineRule="auto"/>
      </w:pPr>
      <w:r w:rsidRPr="00633350">
        <w:t>A acetona, formada pela conversão não enzimática de acetoacetato, é a responsável pelo odor frutado do hálito (hálito cetônico). As cetonas são excretadas na urina em associação a cátions, e assim aumentam ainda mais as perdas de água e eletrólitos. Com desidratação progressiva, acidose, hiperosmolaridade e utilização cerebral de oxigênio diminuída, a consciência se torna prejudicada, e o paciente, afinal, se torna comatoso.</w:t>
      </w:r>
    </w:p>
    <w:p w:rsidR="00B36F7F" w:rsidRPr="00633350" w:rsidRDefault="00B36F7F" w:rsidP="00633350">
      <w:pPr>
        <w:spacing w:after="0" w:line="240" w:lineRule="auto"/>
        <w:ind w:left="360"/>
      </w:pPr>
      <w:r w:rsidRPr="000B5319">
        <w:rPr>
          <w:noProof/>
          <w:lang w:eastAsia="pt-BR"/>
        </w:rPr>
        <w:pict>
          <v:shape id="Imagem 6" o:spid="_x0000_i1025" type="#_x0000_t75" style="width:399.6pt;height:236.4pt;visibility:visible">
            <v:imagedata r:id="rId8" o:title=""/>
          </v:shape>
        </w:pict>
      </w:r>
    </w:p>
    <w:p w:rsidR="00B36F7F" w:rsidRDefault="00B36F7F" w:rsidP="00633350">
      <w:pPr>
        <w:pStyle w:val="ListParagraph"/>
        <w:spacing w:after="0" w:line="240" w:lineRule="auto"/>
      </w:pPr>
    </w:p>
    <w:p w:rsidR="00B36F7F" w:rsidRDefault="00B36F7F" w:rsidP="00633350">
      <w:pPr>
        <w:pStyle w:val="ListParagraph"/>
        <w:numPr>
          <w:ilvl w:val="0"/>
          <w:numId w:val="1"/>
        </w:numPr>
        <w:spacing w:after="0" w:line="240" w:lineRule="auto"/>
      </w:pPr>
      <w:r w:rsidRPr="00633350">
        <w:t>Quadro Clínico</w:t>
      </w:r>
    </w:p>
    <w:p w:rsidR="00B36F7F" w:rsidRDefault="00B36F7F" w:rsidP="00633350">
      <w:pPr>
        <w:spacing w:after="0" w:line="240" w:lineRule="auto"/>
      </w:pPr>
    </w:p>
    <w:p w:rsidR="00B36F7F" w:rsidRDefault="00B36F7F" w:rsidP="00633350">
      <w:pPr>
        <w:spacing w:after="0" w:line="240" w:lineRule="auto"/>
      </w:pPr>
      <w:r w:rsidRPr="00633350">
        <w:t>Os pacientes comumente apresentam uma história de poliúria e polidipsia devido à glicosúria. Pode ocorrer uma perda de peso, apesar de um aumento no consumo calórico, devido à perda excessiva de glicose pela urina e à incapacidade de se utilizar os substratos presentes na circulação.</w:t>
      </w:r>
    </w:p>
    <w:p w:rsidR="00B36F7F" w:rsidRDefault="00B36F7F" w:rsidP="00633350">
      <w:pPr>
        <w:spacing w:after="0" w:line="240" w:lineRule="auto"/>
      </w:pPr>
      <w:r w:rsidRPr="00633350">
        <w:t>História de dor abdominal, vômitos e náusea também ocorre com frequência. Esse quadro pode ser causado por um processo infeccioso ou pela perda do equilíbrio metabólico, já que a presença de corpos cetônicos plasmáticos em níveis elevados pode causar esses sintomas.</w:t>
      </w:r>
    </w:p>
    <w:p w:rsidR="00B36F7F" w:rsidRDefault="00B36F7F" w:rsidP="00633350">
      <w:pPr>
        <w:spacing w:after="0" w:line="240" w:lineRule="auto"/>
        <w:ind w:left="360"/>
      </w:pPr>
    </w:p>
    <w:p w:rsidR="00B36F7F" w:rsidRPr="00633350" w:rsidRDefault="00B36F7F" w:rsidP="00633350">
      <w:pPr>
        <w:pStyle w:val="ListParagraph"/>
        <w:numPr>
          <w:ilvl w:val="0"/>
          <w:numId w:val="1"/>
        </w:numPr>
        <w:spacing w:after="0" w:line="240" w:lineRule="auto"/>
      </w:pPr>
      <w:r w:rsidRPr="00633350">
        <w:t>Diagnóstico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 xml:space="preserve">EXAMES COMPLEMENTARES IMEDIATOS 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 xml:space="preserve">Assim que o paciente for admitido na Unidade de Emergência e se suspeite de cetoacidose diabética deverão ser realizados exames, que em questão de minutos, permitam a definição diagnóstica e possibilitem o início da terapia enquanto se aguarda o resultado das demais investigações: 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- Glicemia capilar (fitas reagentes para glicose, através de glicosímetro ou leitura visual); 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- Glicosúria e cetonúria (fitas reagentes específicas); </w:t>
      </w:r>
    </w:p>
    <w:p w:rsidR="00B36F7F" w:rsidRPr="00633350" w:rsidRDefault="00B36F7F" w:rsidP="00633350">
      <w:pPr>
        <w:spacing w:after="0" w:line="240" w:lineRule="auto"/>
      </w:pPr>
      <w:r w:rsidRPr="00633350">
        <w:t>- Gasometria arterial ou venosa: mostrará acidose metabólica geralmente associada a alcalose respiratória compensadora. A gasometria venosa pode ser utilizada porque o que se deseja avaliar é a PaCO2 e o bicarbonato sérico cujos resultados não variam significativamente se a amostra de sangue for venosa ou arterial.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 xml:space="preserve">EXAMES COMPLEMENTARES INICIAIS – </w:t>
      </w:r>
    </w:p>
    <w:p w:rsidR="00B36F7F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>Glicemia plasmática: em geral &gt; 250 mg/dl;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 - Hemograma: a presença de leucocitose sem desvio para a esquerda é freqüente na cetoacidose e não necessariamente indicativo de infecção; </w:t>
      </w:r>
    </w:p>
    <w:p w:rsidR="00B36F7F" w:rsidRPr="00633350" w:rsidRDefault="00B36F7F" w:rsidP="00633350">
      <w:pPr>
        <w:spacing w:after="0" w:line="240" w:lineRule="auto"/>
      </w:pPr>
      <w:r w:rsidRPr="00633350">
        <w:t xml:space="preserve">- Uréia e creatinina: a presença de cetoácidos causa uma falsa elevação do nível sérico da creatinina, a qual isoladamente não tem valor diagnóstico. A uréia tende a ser elevada devido à desidratação; </w:t>
      </w:r>
    </w:p>
    <w:p w:rsidR="00B36F7F" w:rsidRDefault="00B36F7F" w:rsidP="00633350">
      <w:pPr>
        <w:spacing w:after="0" w:line="240" w:lineRule="auto"/>
      </w:pPr>
      <w:r w:rsidRPr="00633350">
        <w:t>- Eletrólitos (Na+ , K+ , CL- , Ca++, P- ): Avaliar expoliação de eletrólitos</w:t>
      </w:r>
    </w:p>
    <w:p w:rsidR="00B36F7F" w:rsidRPr="00633350" w:rsidRDefault="00B36F7F" w:rsidP="00633350">
      <w:pPr>
        <w:spacing w:after="0" w:line="240" w:lineRule="auto"/>
      </w:pPr>
    </w:p>
    <w:p w:rsidR="00B36F7F" w:rsidRDefault="00B36F7F" w:rsidP="001669CF">
      <w:pPr>
        <w:pStyle w:val="ListParagraph"/>
        <w:numPr>
          <w:ilvl w:val="0"/>
          <w:numId w:val="1"/>
        </w:numPr>
        <w:spacing w:after="0" w:line="240" w:lineRule="auto"/>
      </w:pPr>
      <w:r w:rsidRPr="00633350">
        <w:t>Complicações</w:t>
      </w:r>
    </w:p>
    <w:p w:rsidR="00B36F7F" w:rsidRPr="00633350" w:rsidRDefault="00B36F7F" w:rsidP="001669CF">
      <w:pPr>
        <w:pStyle w:val="ListParagraph"/>
        <w:numPr>
          <w:ilvl w:val="0"/>
          <w:numId w:val="1"/>
        </w:num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0B5319">
        <w:rPr>
          <w:noProof/>
          <w:lang w:eastAsia="pt-BR"/>
        </w:rPr>
        <w:pict>
          <v:shape id="Espaço Reservado para Conteúdo 3" o:spid="_x0000_i1026" type="#_x0000_t75" style="width:420pt;height:138pt;visibility:visible">
            <v:imagedata r:id="rId9" o:title=""/>
          </v:shape>
        </w:pict>
      </w:r>
    </w:p>
    <w:p w:rsidR="00B36F7F" w:rsidRPr="00633350" w:rsidRDefault="00B36F7F" w:rsidP="00633350">
      <w:pPr>
        <w:tabs>
          <w:tab w:val="num" w:pos="720"/>
        </w:tabs>
        <w:spacing w:after="0" w:line="240" w:lineRule="auto"/>
      </w:pPr>
      <w:r w:rsidRPr="00633350">
        <w:t>O edema cerebral é a principal causa de morbidade e mortalidade em crianças e adolescentes. Está associado a reposição rápida de volume e insulina, mas mesmo nos protocolos de reidratação gradual, a incidência não mudou nos últimos 15 a 20 anos.Em todos os casos deve-se fazer verificações neurológicas frequentes e se houver qualquer sinal de aumento da pressão intracraniana, tais como, alteração de consciência, respiração deprimida, piora da cefaleia, bradicardia, apneia, alterações pupilares, papiledema, postura anormal e convulsões.</w:t>
      </w:r>
    </w:p>
    <w:p w:rsidR="00B36F7F" w:rsidRPr="00633350" w:rsidRDefault="00B36F7F" w:rsidP="00633350">
      <w:pPr>
        <w:tabs>
          <w:tab w:val="num" w:pos="720"/>
        </w:tabs>
        <w:spacing w:after="0" w:line="240" w:lineRule="auto"/>
      </w:pPr>
      <w:r w:rsidRPr="00633350">
        <w:t>Manitol deve sempre estar disponível, e esses casos devem ser tratados em unidades de terapia intensiva</w:t>
      </w:r>
    </w:p>
    <w:p w:rsidR="00B36F7F" w:rsidRPr="00633350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</w:pPr>
      <w:r w:rsidRPr="00633350">
        <w:t>Tratamento:</w:t>
      </w:r>
    </w:p>
    <w:p w:rsidR="00B36F7F" w:rsidRPr="00633350" w:rsidRDefault="00B36F7F" w:rsidP="00633350">
      <w:pPr>
        <w:spacing w:after="0" w:line="240" w:lineRule="auto"/>
      </w:pPr>
    </w:p>
    <w:p w:rsidR="00B36F7F" w:rsidRPr="00633350" w:rsidRDefault="00B36F7F" w:rsidP="00633350">
      <w:pPr>
        <w:pStyle w:val="ListParagraph"/>
        <w:numPr>
          <w:ilvl w:val="0"/>
          <w:numId w:val="8"/>
        </w:numPr>
        <w:spacing w:after="0" w:line="240" w:lineRule="auto"/>
      </w:pPr>
      <w:r w:rsidRPr="00633350">
        <w:t>Primeira hora: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10-20ml/kg IV em bolu de NaCl a 0,9% ou Ringer lactato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Gotejamento de insulina a 0,05 a 0,10 µ/Kg/h</w:t>
      </w:r>
    </w:p>
    <w:p w:rsidR="00B36F7F" w:rsidRPr="00633350" w:rsidRDefault="00B36F7F" w:rsidP="00633350">
      <w:pPr>
        <w:pStyle w:val="ListParagraph"/>
        <w:numPr>
          <w:ilvl w:val="0"/>
          <w:numId w:val="6"/>
        </w:numPr>
        <w:spacing w:after="0" w:line="240" w:lineRule="auto"/>
      </w:pPr>
      <w:r w:rsidRPr="00633350">
        <w:t>Segunda hora até resolução da CAD: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Continuar gotejamento de insulina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Manutenção (24h): 100ml/kg (primeiros 10kg) + 50ml/kg (segundos 10 kg) + 25ml/kg (demais kg restantes)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Calcular 85ml/kg para reposição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85ml/kg + manutenção – bolus /23 horas= quantidade de ml por hora</w:t>
      </w:r>
    </w:p>
    <w:p w:rsidR="00B36F7F" w:rsidRPr="00633350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Fornecer 20 mEq/L de fosfato de potássio e 20 mEq/L de acetato de potássio</w:t>
      </w:r>
    </w:p>
    <w:p w:rsidR="00B36F7F" w:rsidRDefault="00B36F7F" w:rsidP="00633350">
      <w:pPr>
        <w:numPr>
          <w:ilvl w:val="1"/>
          <w:numId w:val="5"/>
        </w:numPr>
        <w:spacing w:after="0" w:line="240" w:lineRule="auto"/>
      </w:pPr>
      <w:r w:rsidRPr="00633350">
        <w:t>Glicose 5% se açúcar no sangue &lt; 250mg/Dl</w:t>
      </w:r>
    </w:p>
    <w:p w:rsidR="00B36F7F" w:rsidRPr="00633350" w:rsidRDefault="00B36F7F" w:rsidP="00633350">
      <w:pPr>
        <w:spacing w:after="0" w:line="240" w:lineRule="auto"/>
        <w:ind w:left="1440"/>
      </w:pPr>
    </w:p>
    <w:p w:rsidR="00B36F7F" w:rsidRPr="00633350" w:rsidRDefault="00B36F7F" w:rsidP="00633350">
      <w:pPr>
        <w:spacing w:after="0" w:line="240" w:lineRule="auto"/>
      </w:pPr>
      <w:r w:rsidRPr="00633350">
        <w:t>A reparação da hiperglicemia ocorre primeiro do que a correção da acidose, por esta</w:t>
      </w:r>
      <w:r>
        <w:t xml:space="preserve"> razão, </w:t>
      </w:r>
      <w:r w:rsidRPr="00633350">
        <w:t>a insulina ainda está indicada para corrigir a liberação de ácidos graxos, depois que os níveis normais de glicemia são atingidos. Se o paciente permanecer sem vômitos, CO2&gt; 16 e eletrólitos normais pode-se então liberar a ingestão oral com o uso de insulina subcutânea.</w:t>
      </w:r>
    </w:p>
    <w:p w:rsidR="00B36F7F" w:rsidRDefault="00B36F7F" w:rsidP="00633350">
      <w:pPr>
        <w:spacing w:after="0" w:line="240" w:lineRule="auto"/>
      </w:pPr>
    </w:p>
    <w:p w:rsidR="00B36F7F" w:rsidRDefault="00B36F7F" w:rsidP="00EB3833">
      <w:pPr>
        <w:pStyle w:val="ListParagraph"/>
        <w:numPr>
          <w:ilvl w:val="0"/>
          <w:numId w:val="1"/>
        </w:numPr>
        <w:spacing w:after="0" w:line="240" w:lineRule="auto"/>
      </w:pPr>
      <w:r>
        <w:t>Referências Bibliográficas</w:t>
      </w:r>
    </w:p>
    <w:p w:rsidR="00B36F7F" w:rsidRDefault="00B36F7F" w:rsidP="00EB3833">
      <w:pPr>
        <w:spacing w:after="0" w:line="240" w:lineRule="auto"/>
        <w:ind w:left="360"/>
      </w:pPr>
    </w:p>
    <w:p w:rsidR="00B36F7F" w:rsidRPr="00EB3833" w:rsidRDefault="00B36F7F" w:rsidP="00EB3833">
      <w:pPr>
        <w:spacing w:after="0" w:line="240" w:lineRule="auto"/>
        <w:ind w:left="360"/>
        <w:rPr>
          <w:shd w:val="clear" w:color="auto" w:fill="F7F7F7"/>
        </w:rPr>
      </w:pPr>
      <w:r w:rsidRPr="00EB3833">
        <w:rPr>
          <w:shd w:val="clear" w:color="auto" w:fill="F7F7F7"/>
        </w:rPr>
        <w:t>KLIEGMAN, Robert M. (Coord.).</w:t>
      </w:r>
      <w:r w:rsidRPr="00EB3833">
        <w:rPr>
          <w:rStyle w:val="apple-converted-space"/>
          <w:shd w:val="clear" w:color="auto" w:fill="F7F7F7"/>
        </w:rPr>
        <w:t> </w:t>
      </w:r>
      <w:r w:rsidRPr="00EB3833">
        <w:rPr>
          <w:b/>
          <w:bCs/>
          <w:shd w:val="clear" w:color="auto" w:fill="F7F7F7"/>
        </w:rPr>
        <w:t>Nelson:</w:t>
      </w:r>
      <w:r w:rsidRPr="00EB3833">
        <w:rPr>
          <w:rStyle w:val="apple-converted-space"/>
          <w:b/>
          <w:bCs/>
          <w:shd w:val="clear" w:color="auto" w:fill="F7F7F7"/>
        </w:rPr>
        <w:t> </w:t>
      </w:r>
      <w:r w:rsidRPr="00EB3833">
        <w:rPr>
          <w:shd w:val="clear" w:color="auto" w:fill="F7F7F7"/>
        </w:rPr>
        <w:t>tratado de pediatria.</w:t>
      </w:r>
      <w:r w:rsidRPr="00EB3833">
        <w:rPr>
          <w:rStyle w:val="apple-converted-space"/>
          <w:shd w:val="clear" w:color="auto" w:fill="F7F7F7"/>
        </w:rPr>
        <w:t> </w:t>
      </w:r>
      <w:r w:rsidRPr="00EB3833">
        <w:rPr>
          <w:shd w:val="clear" w:color="auto" w:fill="F7F7F7"/>
        </w:rPr>
        <w:t>19. ed. Rio de Janeiro, RJ: Guanabara Koogan, c2014. 2 v</w:t>
      </w:r>
    </w:p>
    <w:p w:rsidR="00B36F7F" w:rsidRPr="00EB3833" w:rsidRDefault="00B36F7F" w:rsidP="00EB3833">
      <w:pPr>
        <w:spacing w:after="0" w:line="240" w:lineRule="auto"/>
        <w:ind w:left="360"/>
        <w:rPr>
          <w:shd w:val="clear" w:color="auto" w:fill="F7F7F7"/>
        </w:rPr>
      </w:pPr>
    </w:p>
    <w:p w:rsidR="00B36F7F" w:rsidRPr="00EB3833" w:rsidRDefault="00B36F7F" w:rsidP="00EB3833">
      <w:pPr>
        <w:spacing w:after="0" w:line="240" w:lineRule="auto"/>
        <w:ind w:left="360"/>
        <w:rPr>
          <w:shd w:val="clear" w:color="auto" w:fill="FFFFFF"/>
        </w:rPr>
      </w:pPr>
      <w:r w:rsidRPr="00EB3833">
        <w:rPr>
          <w:shd w:val="clear" w:color="auto" w:fill="FFFFFF"/>
        </w:rPr>
        <w:t>Collett-Solberg, Paulo Ferrez. "Cetoacidose diabética em crianças: revisão da fisiopatologia e tratamento com o uso do método de duas soluções salinas."</w:t>
      </w:r>
      <w:r w:rsidRPr="00EB3833">
        <w:rPr>
          <w:rStyle w:val="apple-converted-space"/>
          <w:shd w:val="clear" w:color="auto" w:fill="FFFFFF"/>
        </w:rPr>
        <w:t> </w:t>
      </w:r>
      <w:r w:rsidRPr="00EB3833">
        <w:rPr>
          <w:i/>
          <w:iCs/>
          <w:shd w:val="clear" w:color="auto" w:fill="FFFFFF"/>
        </w:rPr>
        <w:t>J. Pediatr.(Rio J.)</w:t>
      </w:r>
      <w:r w:rsidRPr="00EB3833">
        <w:rPr>
          <w:rStyle w:val="apple-converted-space"/>
          <w:shd w:val="clear" w:color="auto" w:fill="FFFFFF"/>
        </w:rPr>
        <w:t> </w:t>
      </w:r>
      <w:r w:rsidRPr="00EB3833">
        <w:rPr>
          <w:shd w:val="clear" w:color="auto" w:fill="FFFFFF"/>
        </w:rPr>
        <w:t>77 (2001): 9-16.</w:t>
      </w:r>
    </w:p>
    <w:p w:rsidR="00B36F7F" w:rsidRPr="00EB3833" w:rsidRDefault="00B36F7F" w:rsidP="00EB3833">
      <w:pPr>
        <w:spacing w:after="0" w:line="240" w:lineRule="auto"/>
        <w:ind w:left="360"/>
        <w:rPr>
          <w:shd w:val="clear" w:color="auto" w:fill="FFFFFF"/>
        </w:rPr>
      </w:pPr>
    </w:p>
    <w:p w:rsidR="00B36F7F" w:rsidRPr="00EB3833" w:rsidRDefault="00B36F7F" w:rsidP="00EB3833">
      <w:pPr>
        <w:spacing w:after="0" w:line="240" w:lineRule="auto"/>
        <w:ind w:left="360"/>
      </w:pPr>
      <w:r w:rsidRPr="00EB3833">
        <w:rPr>
          <w:shd w:val="clear" w:color="auto" w:fill="FFFFFF"/>
        </w:rPr>
        <w:t>FOSS-FREITAS, Maria C.; FOSS, Milton C.. CETOACIDOSE DIABÉTICA E ESTADO HIPERGLICÊMICO HIPEROSMOLAR.</w:t>
      </w:r>
      <w:r w:rsidRPr="00EB3833">
        <w:rPr>
          <w:rStyle w:val="apple-converted-space"/>
          <w:shd w:val="clear" w:color="auto" w:fill="FFFFFF"/>
        </w:rPr>
        <w:t> </w:t>
      </w:r>
      <w:r w:rsidRPr="00EB3833">
        <w:rPr>
          <w:rStyle w:val="Strong"/>
          <w:shd w:val="clear" w:color="auto" w:fill="FFFFFF"/>
        </w:rPr>
        <w:t>Medicina (Ribeirao Preto. Online)</w:t>
      </w:r>
      <w:r w:rsidRPr="00EB3833">
        <w:rPr>
          <w:shd w:val="clear" w:color="auto" w:fill="FFFFFF"/>
        </w:rPr>
        <w:t>, Brasil, v. 36, n. 2/4, p. 389-393, dec. 2003. ISSN 2176-7262. Disponível em: &lt;</w:t>
      </w:r>
      <w:hyperlink r:id="rId10" w:tgtFrame="_new" w:history="1">
        <w:r w:rsidRPr="00EB3833">
          <w:rPr>
            <w:rStyle w:val="Hyperlink"/>
            <w:color w:val="auto"/>
            <w:shd w:val="clear" w:color="auto" w:fill="FFFFFF"/>
          </w:rPr>
          <w:t>http://www.revistas.usp.br/rmrp/article/view/748/761</w:t>
        </w:r>
      </w:hyperlink>
      <w:r w:rsidRPr="00EB3833">
        <w:rPr>
          <w:shd w:val="clear" w:color="auto" w:fill="FFFFFF"/>
        </w:rPr>
        <w:t xml:space="preserve">&gt;. Acesso em: 28 fev. 2016. </w:t>
      </w:r>
    </w:p>
    <w:p w:rsidR="00B36F7F" w:rsidRPr="00633350" w:rsidRDefault="00B36F7F" w:rsidP="00633350">
      <w:pPr>
        <w:spacing w:after="0" w:line="240" w:lineRule="auto"/>
      </w:pPr>
    </w:p>
    <w:p w:rsidR="00B36F7F" w:rsidRPr="00633350" w:rsidRDefault="00B36F7F" w:rsidP="00633350">
      <w:pPr>
        <w:spacing w:after="0" w:line="240" w:lineRule="auto"/>
        <w:ind w:firstLine="708"/>
      </w:pPr>
    </w:p>
    <w:sectPr w:rsidR="00B36F7F" w:rsidRPr="00633350" w:rsidSect="00916E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F7F" w:rsidRDefault="00B36F7F" w:rsidP="004879EB">
      <w:pPr>
        <w:spacing w:after="0" w:line="240" w:lineRule="auto"/>
      </w:pPr>
      <w:r>
        <w:separator/>
      </w:r>
    </w:p>
  </w:endnote>
  <w:endnote w:type="continuationSeparator" w:id="1">
    <w:p w:rsidR="00B36F7F" w:rsidRDefault="00B36F7F" w:rsidP="00487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F7F" w:rsidRDefault="00B36F7F" w:rsidP="004879EB">
      <w:pPr>
        <w:spacing w:after="0" w:line="240" w:lineRule="auto"/>
      </w:pPr>
      <w:r>
        <w:separator/>
      </w:r>
    </w:p>
  </w:footnote>
  <w:footnote w:type="continuationSeparator" w:id="1">
    <w:p w:rsidR="00B36F7F" w:rsidRDefault="00B36F7F" w:rsidP="00487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55C"/>
    <w:multiLevelType w:val="hybridMultilevel"/>
    <w:tmpl w:val="E4902022"/>
    <w:lvl w:ilvl="0" w:tplc="0804D6EE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F503179"/>
    <w:multiLevelType w:val="hybridMultilevel"/>
    <w:tmpl w:val="6F1AA18A"/>
    <w:lvl w:ilvl="0" w:tplc="DAEC337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8280DD1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8604F25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7BF27392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0DC803FA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E904D32A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68529194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5C2A238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88246DCC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2">
    <w:nsid w:val="24F215F5"/>
    <w:multiLevelType w:val="hybridMultilevel"/>
    <w:tmpl w:val="13D8AAFA"/>
    <w:lvl w:ilvl="0" w:tplc="A438940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9D34548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DE889DB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A8EC1A0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6C9C09EE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31FAD490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3EF842E2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2A125CB2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90DA94F6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3">
    <w:nsid w:val="2D7E6F16"/>
    <w:multiLevelType w:val="hybridMultilevel"/>
    <w:tmpl w:val="C9A43C1C"/>
    <w:lvl w:ilvl="0" w:tplc="8C9A7B2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1AE2B64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113ECA2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E566FE02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224C1E7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A8AEB044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A3268A2E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6E8EB50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7826AF92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4">
    <w:nsid w:val="33366D7D"/>
    <w:multiLevelType w:val="hybridMultilevel"/>
    <w:tmpl w:val="3F448E34"/>
    <w:lvl w:ilvl="0" w:tplc="F500A33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30A81A8C">
      <w:start w:val="23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ED0EDB1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92A08F7C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19A8B300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A32AED74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1BECA3F4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3BB05576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1398F542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5">
    <w:nsid w:val="34A555F5"/>
    <w:multiLevelType w:val="hybridMultilevel"/>
    <w:tmpl w:val="C33A4568"/>
    <w:lvl w:ilvl="0" w:tplc="07A6E81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86FC1CA6">
      <w:start w:val="23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950A102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FF5056B8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26A6160A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F954D536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184ECD28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32BE15D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5B10E148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6">
    <w:nsid w:val="37421995"/>
    <w:multiLevelType w:val="hybridMultilevel"/>
    <w:tmpl w:val="94B20198"/>
    <w:lvl w:ilvl="0" w:tplc="EFB81BA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1046CBD"/>
    <w:multiLevelType w:val="hybridMultilevel"/>
    <w:tmpl w:val="82A802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A014151"/>
    <w:multiLevelType w:val="hybridMultilevel"/>
    <w:tmpl w:val="5B82232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>
    <w:nsid w:val="536A5132"/>
    <w:multiLevelType w:val="hybridMultilevel"/>
    <w:tmpl w:val="430A4628"/>
    <w:lvl w:ilvl="0" w:tplc="DB4EEA3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 w:tplc="0ECE6D1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cs="Garamond" w:hint="default"/>
      </w:rPr>
    </w:lvl>
    <w:lvl w:ilvl="2" w:tplc="2806CF4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cs="Garamond" w:hint="default"/>
      </w:rPr>
    </w:lvl>
    <w:lvl w:ilvl="3" w:tplc="3300F538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cs="Garamond" w:hint="default"/>
      </w:rPr>
    </w:lvl>
    <w:lvl w:ilvl="4" w:tplc="FCC6C256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cs="Garamond" w:hint="default"/>
      </w:rPr>
    </w:lvl>
    <w:lvl w:ilvl="5" w:tplc="FE267A3C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cs="Garamond" w:hint="default"/>
      </w:rPr>
    </w:lvl>
    <w:lvl w:ilvl="6" w:tplc="EAAEBE26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cs="Garamond" w:hint="default"/>
      </w:rPr>
    </w:lvl>
    <w:lvl w:ilvl="7" w:tplc="6F8CCA4C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cs="Garamond" w:hint="default"/>
      </w:rPr>
    </w:lvl>
    <w:lvl w:ilvl="8" w:tplc="645EFFF6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cs="Garamond" w:hint="default"/>
      </w:rPr>
    </w:lvl>
  </w:abstractNum>
  <w:abstractNum w:abstractNumId="10">
    <w:nsid w:val="5FB865A5"/>
    <w:multiLevelType w:val="hybridMultilevel"/>
    <w:tmpl w:val="701677C6"/>
    <w:lvl w:ilvl="0" w:tplc="5048430C">
      <w:start w:val="3"/>
      <w:numFmt w:val="bullet"/>
      <w:lvlText w:val="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9EB"/>
    <w:rsid w:val="00064EF9"/>
    <w:rsid w:val="000B5319"/>
    <w:rsid w:val="000D506F"/>
    <w:rsid w:val="000F1BFA"/>
    <w:rsid w:val="001669CF"/>
    <w:rsid w:val="001F3F75"/>
    <w:rsid w:val="00385471"/>
    <w:rsid w:val="004879EB"/>
    <w:rsid w:val="00535941"/>
    <w:rsid w:val="00633350"/>
    <w:rsid w:val="006624F8"/>
    <w:rsid w:val="00916E8C"/>
    <w:rsid w:val="009F43FE"/>
    <w:rsid w:val="00B35B89"/>
    <w:rsid w:val="00B36F7F"/>
    <w:rsid w:val="00BF17EB"/>
    <w:rsid w:val="00D96863"/>
    <w:rsid w:val="00EB3833"/>
    <w:rsid w:val="00F03D3A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E8C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4879EB"/>
    <w:rPr>
      <w:rFonts w:ascii="Helvetica" w:hAnsi="Helvetica" w:cs="Helvetic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4879EB"/>
    <w:pPr>
      <w:ind w:left="720"/>
    </w:pPr>
  </w:style>
  <w:style w:type="paragraph" w:styleId="Header">
    <w:name w:val="header"/>
    <w:basedOn w:val="Normal"/>
    <w:link w:val="HeaderChar"/>
    <w:uiPriority w:val="99"/>
    <w:rsid w:val="004879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79EB"/>
  </w:style>
  <w:style w:type="paragraph" w:styleId="Footer">
    <w:name w:val="footer"/>
    <w:basedOn w:val="Normal"/>
    <w:link w:val="FooterChar"/>
    <w:uiPriority w:val="99"/>
    <w:rsid w:val="004879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79EB"/>
  </w:style>
  <w:style w:type="character" w:customStyle="1" w:styleId="apple-converted-space">
    <w:name w:val="apple-converted-space"/>
    <w:basedOn w:val="DefaultParagraphFont"/>
    <w:uiPriority w:val="99"/>
    <w:rsid w:val="00EB3833"/>
  </w:style>
  <w:style w:type="character" w:styleId="Strong">
    <w:name w:val="Strong"/>
    <w:basedOn w:val="DefaultParagraphFont"/>
    <w:uiPriority w:val="99"/>
    <w:qFormat/>
    <w:rsid w:val="00EB3833"/>
    <w:rPr>
      <w:b/>
      <w:bCs/>
    </w:rPr>
  </w:style>
  <w:style w:type="character" w:styleId="Hyperlink">
    <w:name w:val="Hyperlink"/>
    <w:basedOn w:val="DefaultParagraphFont"/>
    <w:uiPriority w:val="99"/>
    <w:semiHidden/>
    <w:rsid w:val="00EB38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1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3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3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7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3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3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9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0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7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3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7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7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5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7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7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5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283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4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5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86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revistas.usp.br/rmrp/article/view/748/76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1207</Words>
  <Characters>6522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Martins</dc:creator>
  <cp:keywords/>
  <dc:description/>
  <cp:lastModifiedBy>Paulo</cp:lastModifiedBy>
  <cp:revision>2</cp:revision>
  <dcterms:created xsi:type="dcterms:W3CDTF">2016-03-15T23:47:00Z</dcterms:created>
  <dcterms:modified xsi:type="dcterms:W3CDTF">2016-03-15T23:47:00Z</dcterms:modified>
</cp:coreProperties>
</file>