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0F" w:rsidRDefault="00425D0F" w:rsidP="00267EF7">
      <w:pPr>
        <w:shd w:val="clear" w:color="auto" w:fill="FFFFFF"/>
        <w:jc w:val="center"/>
        <w:rPr>
          <w:b/>
          <w:color w:val="FF0000"/>
          <w:sz w:val="32"/>
          <w:szCs w:val="32"/>
        </w:rPr>
      </w:pPr>
      <w:r w:rsidRPr="00425D0F">
        <w:rPr>
          <w:b/>
          <w:noProof/>
          <w:color w:val="FF0000"/>
          <w:sz w:val="32"/>
          <w:szCs w:val="32"/>
          <w:lang w:eastAsia="pt-BR"/>
        </w:rPr>
        <w:drawing>
          <wp:inline distT="0" distB="0" distL="0" distR="0">
            <wp:extent cx="5400040" cy="838906"/>
            <wp:effectExtent l="19050" t="0" r="0" b="0"/>
            <wp:docPr id="11" name="Image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38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67EF7" w:rsidRPr="00425D0F" w:rsidRDefault="00267EF7" w:rsidP="00267EF7">
      <w:pPr>
        <w:shd w:val="clear" w:color="auto" w:fill="FFFFFF"/>
        <w:jc w:val="center"/>
        <w:rPr>
          <w:b/>
          <w:color w:val="FF0000"/>
          <w:sz w:val="32"/>
          <w:szCs w:val="32"/>
        </w:rPr>
      </w:pPr>
      <w:r w:rsidRPr="00425D0F">
        <w:rPr>
          <w:b/>
          <w:color w:val="FF0000"/>
          <w:sz w:val="32"/>
          <w:szCs w:val="32"/>
        </w:rPr>
        <w:t>PÚRPURA FULMINANS NEONATAL, UM DISTÚRBIO GENÉTICO RARO DEVIDO A DEFICIÊNCIA DA PROTEÍNA C: Relato de caso</w:t>
      </w:r>
      <w:r w:rsidR="00425D0F" w:rsidRPr="00425D0F">
        <w:rPr>
          <w:noProof/>
          <w:lang w:eastAsia="pt-BR"/>
        </w:rPr>
        <w:t xml:space="preserve"> </w:t>
      </w:r>
    </w:p>
    <w:p w:rsidR="00130611" w:rsidRPr="00425D0F" w:rsidRDefault="00BB7DF8" w:rsidP="00130611">
      <w:pPr>
        <w:shd w:val="clear" w:color="auto" w:fill="FFFFFF"/>
      </w:pPr>
      <w:hyperlink r:id="rId6" w:history="1">
        <w:r w:rsidR="00130611" w:rsidRPr="00425D0F">
          <w:rPr>
            <w:rFonts w:ascii="Arial" w:eastAsia="Times New Roman" w:hAnsi="Arial" w:cs="Arial"/>
            <w:color w:val="642A8F"/>
            <w:u w:val="single"/>
            <w:lang w:eastAsia="pt-BR"/>
          </w:rPr>
          <w:t>Neonatal Purpura Fulminans, a rare genetic disorder due to protein C deficiency: A case report.</w:t>
        </w:r>
      </w:hyperlink>
      <w:r w:rsidR="00130611" w:rsidRPr="00425D0F">
        <w:rPr>
          <w:rFonts w:eastAsia="Times New Roman"/>
          <w:color w:val="000000"/>
          <w:lang w:eastAsia="pt-BR"/>
        </w:rPr>
        <w:t xml:space="preserve">Irfan Kazi SG, Siddiqui E, Habib I, Tabassum S, Afzal B, Khan IQ. J Pak Med Assoc. 2018 Mar;68(3):463-465. </w:t>
      </w:r>
      <w:r w:rsidR="00130611" w:rsidRPr="00425D0F">
        <w:rPr>
          <w:rFonts w:eastAsia="Times New Roman"/>
          <w:color w:val="575757"/>
          <w:lang w:eastAsia="pt-BR"/>
        </w:rPr>
        <w:t>PMID: 2954088.  </w:t>
      </w:r>
      <w:hyperlink r:id="rId7" w:history="1">
        <w:r w:rsidR="00130611" w:rsidRPr="00425D0F">
          <w:rPr>
            <w:rFonts w:eastAsia="Times New Roman"/>
            <w:b/>
            <w:bCs/>
            <w:color w:val="985735"/>
            <w:lang w:eastAsia="pt-BR"/>
          </w:rPr>
          <w:t>Free Article</w:t>
        </w:r>
      </w:hyperlink>
      <w:r w:rsidR="00130611" w:rsidRPr="00425D0F">
        <w:rPr>
          <w:rFonts w:eastAsia="Times New Roman"/>
          <w:color w:val="575757"/>
          <w:lang w:eastAsia="pt-BR"/>
        </w:rPr>
        <w:t xml:space="preserve">. </w:t>
      </w:r>
      <w:hyperlink r:id="rId8" w:history="1">
        <w:r w:rsidR="00130611" w:rsidRPr="00425D0F">
          <w:rPr>
            <w:rFonts w:eastAsia="Times New Roman"/>
            <w:color w:val="6666AA"/>
            <w:u w:val="single"/>
            <w:lang w:eastAsia="pt-BR"/>
          </w:rPr>
          <w:t>Similar articles</w:t>
        </w:r>
      </w:hyperlink>
      <w:r w:rsidR="00130611" w:rsidRPr="00425D0F">
        <w:t xml:space="preserve">. </w:t>
      </w:r>
      <w:r w:rsidR="00130611" w:rsidRPr="00425D0F">
        <w:rPr>
          <w:b/>
          <w:color w:val="0000FF"/>
        </w:rPr>
        <w:t>Artigo Livre!</w:t>
      </w:r>
      <w:r w:rsidR="00130611" w:rsidRPr="00425D0F">
        <w:rPr>
          <w:rFonts w:ascii="MyriadPro-Cond" w:hAnsi="MyriadPro-Cond" w:cs="MyriadPro-Cond"/>
          <w:lang w:eastAsia="en-US"/>
        </w:rPr>
        <w:t xml:space="preserve"> </w:t>
      </w:r>
      <w:r w:rsidR="00130611" w:rsidRPr="00425D0F">
        <w:rPr>
          <w:lang w:eastAsia="en-US"/>
        </w:rPr>
        <w:t xml:space="preserve">Karachi, </w:t>
      </w:r>
      <w:r w:rsidR="00130611" w:rsidRPr="00425D0F">
        <w:t>Paquistão</w:t>
      </w:r>
    </w:p>
    <w:p w:rsidR="00130611" w:rsidRDefault="00130611" w:rsidP="00130611">
      <w:pPr>
        <w:shd w:val="clear" w:color="auto" w:fill="FFFFFF"/>
      </w:pPr>
    </w:p>
    <w:p w:rsidR="00267EF7" w:rsidRDefault="00267EF7" w:rsidP="00267EF7">
      <w:pPr>
        <w:jc w:val="center"/>
      </w:pPr>
      <w:r>
        <w:t>Realizado por Paulo R. Margotto</w:t>
      </w:r>
    </w:p>
    <w:p w:rsidR="00267EF7" w:rsidRDefault="00267EF7" w:rsidP="00267EF7">
      <w:pPr>
        <w:jc w:val="center"/>
      </w:pPr>
    </w:p>
    <w:p w:rsidR="00267EF7" w:rsidRDefault="00267EF7" w:rsidP="00267EF7">
      <w:pPr>
        <w:jc w:val="center"/>
      </w:pPr>
      <w:r>
        <w:t xml:space="preserve">Ultrassonografista Neonatologista da Maternidade Brasília e </w:t>
      </w:r>
    </w:p>
    <w:p w:rsidR="00267EF7" w:rsidRDefault="00267EF7" w:rsidP="00267EF7">
      <w:pPr>
        <w:jc w:val="center"/>
      </w:pPr>
      <w:r>
        <w:t>Hospital Santa Lúcia</w:t>
      </w:r>
    </w:p>
    <w:p w:rsidR="00267EF7" w:rsidRDefault="00267EF7" w:rsidP="00267EF7">
      <w:pPr>
        <w:jc w:val="center"/>
      </w:pPr>
      <w:r>
        <w:t>Unidade de Neonatologia do Hospital Materno Infantil de Brasília</w:t>
      </w:r>
    </w:p>
    <w:p w:rsidR="00267EF7" w:rsidRDefault="00267EF7" w:rsidP="00267EF7">
      <w:pPr>
        <w:jc w:val="center"/>
      </w:pPr>
      <w:r>
        <w:t>Brasília, 14 de dezembro de 2019</w:t>
      </w:r>
    </w:p>
    <w:p w:rsidR="00267EF7" w:rsidRDefault="00BB7DF8" w:rsidP="00267EF7">
      <w:pPr>
        <w:jc w:val="center"/>
      </w:pPr>
      <w:hyperlink r:id="rId9" w:history="1">
        <w:r w:rsidR="00267EF7" w:rsidRPr="001D5FBC">
          <w:rPr>
            <w:rStyle w:val="Hyperlink"/>
          </w:rPr>
          <w:t>www.paulomargotto.com.br</w:t>
        </w:r>
      </w:hyperlink>
    </w:p>
    <w:p w:rsidR="00267EF7" w:rsidRDefault="00BB7DF8" w:rsidP="00267EF7">
      <w:pPr>
        <w:jc w:val="center"/>
      </w:pPr>
      <w:hyperlink r:id="rId10" w:history="1">
        <w:r w:rsidR="00267EF7" w:rsidRPr="001D5FBC">
          <w:rPr>
            <w:rStyle w:val="Hyperlink"/>
          </w:rPr>
          <w:t>pmargotto@gmail.com</w:t>
        </w:r>
      </w:hyperlink>
    </w:p>
    <w:p w:rsidR="00130611" w:rsidRDefault="00130611" w:rsidP="00130611">
      <w:pPr>
        <w:shd w:val="clear" w:color="auto" w:fill="FFFFFF"/>
      </w:pPr>
    </w:p>
    <w:p w:rsidR="00130611" w:rsidRPr="00771018" w:rsidRDefault="00130611" w:rsidP="00130611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eastAsia="pt-BR"/>
        </w:rPr>
      </w:pPr>
    </w:p>
    <w:p w:rsidR="00130611" w:rsidRPr="00267EF7" w:rsidRDefault="00130611" w:rsidP="00130611">
      <w:pPr>
        <w:rPr>
          <w:b/>
          <w:color w:val="FF0000"/>
          <w:sz w:val="28"/>
          <w:szCs w:val="28"/>
        </w:rPr>
      </w:pPr>
      <w:r w:rsidRPr="00267EF7">
        <w:rPr>
          <w:b/>
          <w:color w:val="FF0000"/>
          <w:sz w:val="28"/>
          <w:szCs w:val="28"/>
        </w:rPr>
        <w:t>Introdução</w:t>
      </w:r>
    </w:p>
    <w:p w:rsidR="00130611" w:rsidRDefault="00130611" w:rsidP="00130611"/>
    <w:p w:rsidR="00130611" w:rsidRDefault="00130611" w:rsidP="00130611">
      <w:pPr>
        <w:ind w:firstLine="708"/>
        <w:jc w:val="both"/>
      </w:pPr>
      <w:r>
        <w:t>A Púrpura Fulminans (PF) Neonatal</w:t>
      </w:r>
      <w:r w:rsidR="00267EF7">
        <w:t xml:space="preserve"> </w:t>
      </w:r>
      <w:r>
        <w:t>é uma condição clínica devido à trombose microvascular dérmica; A PF é um distúrbio raro e frequentemente fatal associado à hemorragia perivascular e coagulação intravascular disseminada (CID), inicialmente presente na idade neonatal. O reconhecimento clínico precoce, a investigação oportuna e o tratamento são de extrema importância. A PF foi descrita pela primeira vez em 1962 como uma suspeita de lesão hereditária encontrada em três irmãos com lesões cutâneas semelhantes.</w:t>
      </w:r>
      <w:r w:rsidRPr="00FA1FB9">
        <w:rPr>
          <w:vertAlign w:val="superscript"/>
        </w:rPr>
        <w:t>1</w:t>
      </w:r>
      <w:r>
        <w:t xml:space="preserve"> As deficiências da proteína C ou proteína S do tipo homozigoto são desordens genéticas raras com complicações fatais trombóticas da PF fatais, manifestadas principalmente durante o período neonatal.</w:t>
      </w:r>
      <w:r w:rsidRPr="00FA1FB9">
        <w:rPr>
          <w:vertAlign w:val="superscript"/>
        </w:rPr>
        <w:t>2</w:t>
      </w:r>
      <w:r>
        <w:t xml:space="preserve"> </w:t>
      </w:r>
    </w:p>
    <w:p w:rsidR="00130611" w:rsidRDefault="00130611" w:rsidP="00130611">
      <w:pPr>
        <w:ind w:firstLine="708"/>
        <w:jc w:val="both"/>
      </w:pPr>
    </w:p>
    <w:p w:rsidR="00130611" w:rsidRPr="003F1790" w:rsidRDefault="00130611" w:rsidP="00130611">
      <w:pPr>
        <w:jc w:val="both"/>
        <w:rPr>
          <w:b/>
          <w:color w:val="FF0000"/>
        </w:rPr>
      </w:pPr>
      <w:r w:rsidRPr="003F1790">
        <w:rPr>
          <w:b/>
          <w:color w:val="FF0000"/>
        </w:rPr>
        <w:t>APRESENTAÇÃO CLÍNICA</w:t>
      </w:r>
    </w:p>
    <w:p w:rsidR="00130611" w:rsidRDefault="00130611" w:rsidP="00130611">
      <w:pPr>
        <w:ind w:firstLine="708"/>
        <w:jc w:val="both"/>
      </w:pPr>
    </w:p>
    <w:p w:rsidR="00130611" w:rsidRDefault="00130611" w:rsidP="00130611">
      <w:pPr>
        <w:ind w:firstLine="708"/>
        <w:jc w:val="both"/>
        <w:rPr>
          <w:vertAlign w:val="superscript"/>
        </w:rPr>
      </w:pPr>
      <w:r>
        <w:t xml:space="preserve"> A erupção cutânea típica da PF é de máculas eritematosas bem demarcadas, que progridem rapidamente com áreas centrais irregulares e áreas necróticas hemorrágicas azul-pretas.</w:t>
      </w:r>
      <w:r w:rsidRPr="00FA1FB9">
        <w:rPr>
          <w:vertAlign w:val="superscript"/>
        </w:rPr>
        <w:t>3</w:t>
      </w:r>
      <w:r>
        <w:t xml:space="preserve"> Pacientes com PF também podem apresentar insuficiência de múltiplos órgãos ou trombose venosa grande grave com alta morbimortalidade</w:t>
      </w:r>
      <w:r w:rsidR="00267EF7">
        <w:t xml:space="preserve"> </w:t>
      </w:r>
      <w:r>
        <w:t>inicial e a longo prazo, portanto o reconhecimento e o diagnóstico precoces da causa inicial da FP podem evitar esses resultados adversos.</w:t>
      </w:r>
      <w:r w:rsidRPr="00FA1FB9">
        <w:rPr>
          <w:vertAlign w:val="superscript"/>
        </w:rPr>
        <w:t>4</w:t>
      </w:r>
    </w:p>
    <w:p w:rsidR="00425D0F" w:rsidRDefault="00425D0F" w:rsidP="00130611">
      <w:pPr>
        <w:ind w:firstLine="708"/>
        <w:jc w:val="both"/>
      </w:pPr>
    </w:p>
    <w:p w:rsidR="00130611" w:rsidRDefault="00130611" w:rsidP="00130611">
      <w:pPr>
        <w:jc w:val="both"/>
      </w:pPr>
    </w:p>
    <w:p w:rsidR="00130611" w:rsidRPr="003F1790" w:rsidRDefault="00130611" w:rsidP="00130611">
      <w:pPr>
        <w:jc w:val="both"/>
        <w:rPr>
          <w:b/>
          <w:color w:val="FF0000"/>
        </w:rPr>
      </w:pPr>
      <w:r w:rsidRPr="003F1790">
        <w:rPr>
          <w:b/>
          <w:color w:val="FF0000"/>
        </w:rPr>
        <w:t>RELATO DE CASO</w:t>
      </w:r>
    </w:p>
    <w:p w:rsidR="00130611" w:rsidRDefault="00130611" w:rsidP="00130611">
      <w:pPr>
        <w:jc w:val="both"/>
      </w:pPr>
    </w:p>
    <w:p w:rsidR="00130611" w:rsidRDefault="00130611" w:rsidP="00130611">
      <w:pPr>
        <w:ind w:firstLine="708"/>
        <w:jc w:val="both"/>
      </w:pPr>
      <w:r>
        <w:t xml:space="preserve">Um bebê de 6 dias, residente em Multan, foi levado ao Departamento de Emergência de nosso instituto em novembro de 2013 com as queixas de úlceras negras </w:t>
      </w:r>
      <w:r>
        <w:lastRenderedPageBreak/>
        <w:t>em todo o corpo, iniciadas no segundo dia de vida. Inicialmente, essas manchas estavam sobre os pés e no couro cabeludo, mas depois apareceram também no abdome (</w:t>
      </w:r>
      <w:r w:rsidRPr="003F1790">
        <w:rPr>
          <w:color w:val="0070C0"/>
        </w:rPr>
        <w:t>Figura1</w:t>
      </w:r>
      <w:r>
        <w:t>).</w:t>
      </w: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  <w:r w:rsidRPr="00425D0F">
        <w:rPr>
          <w:noProof/>
          <w:lang w:eastAsia="pt-BR"/>
        </w:rPr>
        <w:drawing>
          <wp:inline distT="0" distB="0" distL="0" distR="0">
            <wp:extent cx="5400040" cy="3422795"/>
            <wp:effectExtent l="19050" t="0" r="0" b="0"/>
            <wp:docPr id="7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42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130611" w:rsidRDefault="00130611" w:rsidP="00130611">
      <w:pPr>
        <w:ind w:firstLine="708"/>
        <w:jc w:val="both"/>
      </w:pPr>
    </w:p>
    <w:p w:rsidR="00425D0F" w:rsidRDefault="00130611" w:rsidP="00130611">
      <w:pPr>
        <w:ind w:firstLine="708"/>
        <w:jc w:val="both"/>
      </w:pPr>
      <w:r>
        <w:t xml:space="preserve">A </w:t>
      </w:r>
      <w:r w:rsidRPr="00771018">
        <w:t xml:space="preserve">criança era saudável e estava tomando </w:t>
      </w:r>
      <w:r>
        <w:t>se alimentando</w:t>
      </w:r>
      <w:r w:rsidR="00267EF7">
        <w:t xml:space="preserve"> </w:t>
      </w:r>
      <w:r w:rsidRPr="00771018">
        <w:t xml:space="preserve">normalmente. </w:t>
      </w:r>
      <w:r>
        <w:t xml:space="preserve">Nada digno de nota quanto à </w:t>
      </w:r>
      <w:r w:rsidRPr="00771018">
        <w:t>história pré-natal e o nascimento</w:t>
      </w:r>
      <w:r>
        <w:t>.</w:t>
      </w:r>
      <w:r w:rsidRPr="00771018">
        <w:t xml:space="preserve"> Ele era um </w:t>
      </w:r>
      <w:r w:rsidRPr="003F1790">
        <w:rPr>
          <w:b/>
        </w:rPr>
        <w:t xml:space="preserve">produto do casamento consanguíneo </w:t>
      </w:r>
      <w:r w:rsidRPr="00771018">
        <w:t>com um irmão saudável do sexo masculino vivo. A história familiar foi significativa com a ocorrência das mesmas lesões cutâneas em uma menina desenvolvida no segundo dia de vida e, em seguida, a morte dessa menina no período neonatal. No exame, a criança era vitalmente estável com frequência cardíaca de 140 batimentos / min, frequência respiratória 38 respirações / min e temperatura de 37 ° C. A criança era levemente ictérica e apresentava múltiplas lesões bolhosas eritematosas e grandes de cor preta no couro cabeludo, abdome inferior, períneo,</w:t>
      </w:r>
      <w:r>
        <w:t xml:space="preserve"> costas e solas dos pés (</w:t>
      </w:r>
      <w:r w:rsidRPr="003F1790">
        <w:rPr>
          <w:color w:val="0070C0"/>
        </w:rPr>
        <w:t>Figura2</w:t>
      </w:r>
      <w:r w:rsidRPr="00771018">
        <w:t>).</w:t>
      </w: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425D0F" w:rsidRDefault="00425D0F" w:rsidP="00130611">
      <w:pPr>
        <w:ind w:firstLine="708"/>
        <w:jc w:val="both"/>
      </w:pPr>
    </w:p>
    <w:p w:rsidR="00130611" w:rsidRDefault="00130611" w:rsidP="00130611">
      <w:pPr>
        <w:ind w:firstLine="708"/>
        <w:jc w:val="both"/>
      </w:pPr>
      <w:r>
        <w:lastRenderedPageBreak/>
        <w:t>Os reflexos neonatais eram normais e o exame sistêmico também era normal. Suspeitando de</w:t>
      </w:r>
      <w:r w:rsidR="00267EF7">
        <w:t xml:space="preserve"> </w:t>
      </w:r>
      <w:r>
        <w:t xml:space="preserve">Púrpura Fulminans neonatal, investigações laboratoriais, incluindo hemograma (CBC), tempo de protrombina (PT), tempo de tromboplastina parcial ativada (APTT), proteína C e proteína S foram enviadas, mostrando os seguintes resultados:Hemograma completo (CBC): Hb 11,3 g / dl, HCT 36,3%, WBC 22.700 com neutrófilos 46% e linfócitos 27,7% e plaquetas 146.000 / mm3. Tempo de protrombina (PT): 11,7 segundos. Tempo de Tromboplastina Parcial Ativada (APTT): 40,1 segundos. </w:t>
      </w:r>
      <w:r w:rsidRPr="003D3CD4">
        <w:rPr>
          <w:b/>
          <w:color w:val="FF0000"/>
        </w:rPr>
        <w:t>Nível de proteína C: 10%</w:t>
      </w:r>
      <w:r>
        <w:t xml:space="preserve"> (72-106%). Nível de proteína S: 62,2% (60-110%). Antitrombina III: 59,7% (80-120%).</w:t>
      </w:r>
      <w:r w:rsidR="004210E3">
        <w:t xml:space="preserve"> </w:t>
      </w:r>
      <w:r>
        <w:t xml:space="preserve">A Hematologia aconselhou às Pediátricas </w:t>
      </w:r>
      <w:r w:rsidR="004210E3">
        <w:t>N</w:t>
      </w:r>
      <w:r>
        <w:t>eonatais</w:t>
      </w:r>
      <w:r w:rsidR="00267EF7">
        <w:t xml:space="preserve"> </w:t>
      </w:r>
      <w:r>
        <w:t>para transfusão de plasma fresco congelado e tratamento adicional, mas o pai se recusou a hospitalizar</w:t>
      </w:r>
      <w:r w:rsidR="00267EF7">
        <w:t xml:space="preserve"> </w:t>
      </w:r>
      <w:r>
        <w:t>o bebê e o</w:t>
      </w:r>
      <w:r w:rsidR="00267EF7">
        <w:t xml:space="preserve"> </w:t>
      </w:r>
      <w:r>
        <w:t>levou de volta para casa. Posteriormente, contatamos o acompanhamento e obtivemos as informações de que a paciente havia expirado no 23º dia de vida como a</w:t>
      </w:r>
      <w:r w:rsidR="00267EF7">
        <w:t xml:space="preserve"> </w:t>
      </w:r>
      <w:r>
        <w:t>irmã mais velha.</w:t>
      </w:r>
    </w:p>
    <w:p w:rsidR="00130611" w:rsidRDefault="00425D0F" w:rsidP="00425D0F">
      <w:pPr>
        <w:ind w:firstLine="708"/>
        <w:jc w:val="both"/>
      </w:pPr>
      <w:r w:rsidRPr="00425D0F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513715</wp:posOffset>
            </wp:positionH>
            <wp:positionV relativeFrom="margin">
              <wp:posOffset>-721995</wp:posOffset>
            </wp:positionV>
            <wp:extent cx="4544060" cy="3558540"/>
            <wp:effectExtent l="190500" t="152400" r="180340" b="137160"/>
            <wp:wrapSquare wrapText="bothSides"/>
            <wp:docPr id="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060" cy="3558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30611" w:rsidRPr="003D3CD4" w:rsidRDefault="00130611" w:rsidP="00130611">
      <w:pPr>
        <w:jc w:val="both"/>
        <w:rPr>
          <w:b/>
          <w:color w:val="FF0000"/>
        </w:rPr>
      </w:pPr>
      <w:r w:rsidRPr="003D3CD4">
        <w:rPr>
          <w:b/>
          <w:color w:val="FF0000"/>
        </w:rPr>
        <w:t>DISCUSSÃO E CONCLUSÃO</w:t>
      </w:r>
    </w:p>
    <w:p w:rsidR="00130611" w:rsidRDefault="00130611" w:rsidP="00130611">
      <w:pPr>
        <w:jc w:val="both"/>
      </w:pPr>
    </w:p>
    <w:p w:rsidR="00130611" w:rsidRDefault="00267EF7" w:rsidP="00130611">
      <w:pPr>
        <w:ind w:firstLine="708"/>
        <w:jc w:val="both"/>
      </w:pPr>
      <w:r>
        <w:t>A Púrpura Fulminans (PF) neonatal foi assumida como um distúrbio hereditário devido à presença de lesões cutâneas semelhantes em três irmãos, quando foi descrito pela primeira vez em 1962.</w:t>
      </w:r>
      <w:r w:rsidRPr="00215053">
        <w:rPr>
          <w:vertAlign w:val="superscript"/>
        </w:rPr>
        <w:t>5</w:t>
      </w:r>
      <w:r>
        <w:t xml:space="preserve"> A relação da deficiência da proteína C e PF foi descrita pela primeira vez em 1983 e foi efetivamente tratada com terapia de reposição da proteína C.</w:t>
      </w:r>
      <w:r w:rsidRPr="00215053">
        <w:rPr>
          <w:vertAlign w:val="superscript"/>
        </w:rPr>
        <w:t>6</w:t>
      </w:r>
      <w:r>
        <w:t xml:space="preserve"> As causas hereditárias de PF têm sido associadas à deficiência homozigótica de proteína C ou S, além de heterozigotos complexos e / ou podem ser co-herança com outras trombofilias congênitas.</w:t>
      </w:r>
      <w:r w:rsidRPr="00215053">
        <w:rPr>
          <w:vertAlign w:val="superscript"/>
        </w:rPr>
        <w:t>7</w:t>
      </w:r>
      <w:r>
        <w:t xml:space="preserve"> A ocorrência de deficiência da proteína C é de 1 em 40.000-250000 indivíduos e é a proteína de coagulação dependente da vitamina K, sintetizada no fígado. </w:t>
      </w:r>
    </w:p>
    <w:p w:rsidR="00130611" w:rsidRDefault="00130611" w:rsidP="00130611">
      <w:pPr>
        <w:ind w:firstLine="708"/>
        <w:jc w:val="both"/>
      </w:pPr>
      <w:r>
        <w:t xml:space="preserve">Púrpura Fulminans neonatal geralmente se apresenta com um rápido início de lesões purpúricas nas primeiras 24 horas de vida. </w:t>
      </w:r>
      <w:r w:rsidR="00267EF7">
        <w:t>A apresentação clínica pode variar dependendo da gravidade das deficiências congênitas de proteína C e S. As lesões de pele inicialmente aparecem em vermelho escuro e depois se tornam preto-púrpura e endurecidas.</w:t>
      </w:r>
      <w:r>
        <w:t xml:space="preserve"> </w:t>
      </w:r>
      <w:r w:rsidR="00267EF7">
        <w:t>Elas podem ser confundidas inicialmente como hematomas, mas depois se tornam necróticas e gangrenadas, o que pode resultar em perda de extremidades.</w:t>
      </w:r>
      <w:r w:rsidR="00267EF7" w:rsidRPr="00215053">
        <w:rPr>
          <w:vertAlign w:val="superscript"/>
        </w:rPr>
        <w:t>8</w:t>
      </w:r>
      <w:r w:rsidR="00267EF7">
        <w:t xml:space="preserve"> </w:t>
      </w:r>
    </w:p>
    <w:p w:rsidR="00130611" w:rsidRDefault="00130611" w:rsidP="00130611">
      <w:pPr>
        <w:ind w:firstLine="708"/>
        <w:jc w:val="both"/>
      </w:pPr>
      <w:r>
        <w:lastRenderedPageBreak/>
        <w:t>As complicações oftalmológicas, incluindo hemorragia vítrea e descolamento de retina que podem resultar em cegueira parcial ou completa, estão frequentemente associadas à deficiência grave da proteína C.</w:t>
      </w:r>
      <w:r w:rsidRPr="00215053">
        <w:rPr>
          <w:vertAlign w:val="superscript"/>
        </w:rPr>
        <w:t xml:space="preserve"> </w:t>
      </w:r>
      <w:r>
        <w:rPr>
          <w:vertAlign w:val="superscript"/>
        </w:rPr>
        <w:t>9</w:t>
      </w:r>
    </w:p>
    <w:p w:rsidR="00130611" w:rsidRDefault="00130611" w:rsidP="00130611">
      <w:pPr>
        <w:ind w:firstLine="708"/>
        <w:jc w:val="both"/>
      </w:pPr>
      <w:r>
        <w:t>Púrpura Fulminans é uma emergência hematológica, sendo obrigatório o reconhecimento e o início precoce do tratamento para evitar complicações. O tratamento imediato é a transfusão de plasma fresco congelado para substituir pró-coagulantes e anticoagulantes que foram consumidos. O principal objetivo da transfusão de plasma fresco congelado é substituir a proteína C e a proteína S que estão severamente deficientes.</w:t>
      </w:r>
      <w:r w:rsidRPr="00215053">
        <w:rPr>
          <w:vertAlign w:val="superscript"/>
        </w:rPr>
        <w:t>3</w:t>
      </w:r>
      <w:r>
        <w:t xml:space="preserve"> O concentrado de proteína C é recomendado na deficiência hereditária grave da proteína C após confirmar o diagnóstico para minimizar o uso do plasma fresco </w:t>
      </w:r>
      <w:r w:rsidR="00267EF7">
        <w:t>congelado</w:t>
      </w:r>
      <w:r>
        <w:t>.</w:t>
      </w:r>
    </w:p>
    <w:p w:rsidR="00130611" w:rsidRDefault="00130611" w:rsidP="00130611">
      <w:pPr>
        <w:ind w:firstLine="708"/>
        <w:jc w:val="both"/>
      </w:pPr>
      <w:r>
        <w:t xml:space="preserve">Recém-nascidos e crianças com grave deficiência da proteína C correm risco de PF recorrente e, portanto, requerem tratamento a longo prazo com drogas antitrombóticas. A substituição da proteína C, isoladamente ou em combinação com </w:t>
      </w:r>
      <w:r w:rsidR="00267EF7">
        <w:t>cumarínicos</w:t>
      </w:r>
      <w:r>
        <w:t xml:space="preserve"> ou heparina de baixo peso molecular, constitui a principal manutenção manuseio desses pacientes.</w:t>
      </w:r>
      <w:r w:rsidRPr="003B4BAA">
        <w:rPr>
          <w:vertAlign w:val="superscript"/>
        </w:rPr>
        <w:t>10</w:t>
      </w:r>
    </w:p>
    <w:p w:rsidR="00130611" w:rsidRDefault="00130611" w:rsidP="00130611">
      <w:pPr>
        <w:ind w:firstLine="708"/>
        <w:jc w:val="both"/>
      </w:pPr>
      <w:r>
        <w:t>A Púrpura Fulminans neonatal é uma condição com risco de vida, embora seja muito raro, mas o diagnóstico precoce e o pronto gerenciamento são cruciais para evitar complicações e melhorar a morbidade e a mortalidade. Causas hereditárias requerem tratamento a longo prazo com substituição da terapia anticoagulante e plasma fresco congelado. A triagem familiar também é obrigatória para o reconhecimento precoce da doença nos irmãos.</w:t>
      </w:r>
    </w:p>
    <w:p w:rsidR="00130611" w:rsidRDefault="00130611" w:rsidP="00130611">
      <w:pPr>
        <w:jc w:val="both"/>
      </w:pPr>
    </w:p>
    <w:p w:rsidR="00130611" w:rsidRDefault="00130611" w:rsidP="00130611">
      <w:pPr>
        <w:jc w:val="both"/>
      </w:pPr>
    </w:p>
    <w:p w:rsidR="00130611" w:rsidRDefault="00130611" w:rsidP="00130611">
      <w:pPr>
        <w:jc w:val="both"/>
        <w:rPr>
          <w:b/>
          <w:color w:val="FF0000"/>
        </w:rPr>
      </w:pPr>
      <w:r w:rsidRPr="00267EF7">
        <w:rPr>
          <w:b/>
          <w:color w:val="FF0000"/>
        </w:rPr>
        <w:t>RESUMO</w:t>
      </w:r>
    </w:p>
    <w:p w:rsidR="00267EF7" w:rsidRPr="00267EF7" w:rsidRDefault="00267EF7" w:rsidP="00130611">
      <w:pPr>
        <w:jc w:val="both"/>
        <w:rPr>
          <w:b/>
          <w:color w:val="FF0000"/>
        </w:rPr>
      </w:pPr>
    </w:p>
    <w:p w:rsidR="00130611" w:rsidRDefault="00130611" w:rsidP="00130611">
      <w:pPr>
        <w:jc w:val="both"/>
      </w:pPr>
      <w:r>
        <w:t>A Púrpura Fulminans neonatal é um distúrbio raro e fatal associado à hemorragia perivascular e coagulação intravascular disseminada. O reconhecimento clínico precoce, a investigação oportuna e o tratamento são de extrema importância. Um menino de 6 dias foi levado à Emergência com úlceras negras em todo o corpo. Inicialmente, eles estavam sobre os pés e no couro cabeludo, mas depois apareceram no abdômen. No exame, a criança era vitalmente estável, levemente ictérica e apresentava múltiplas lesões bolhosas grandes e eritematosas enegrecidas no couro cabeludo, abdome inferior, períneo, costas e solas dos pés. Reflexos neonatais e exame sistêmico eram normais. As investigações laboratoriais mostraram níveis normais de CBC, PT / APTT e proteína S, enquanto os níveis da proteína C e antitrombina III estavam baixos. A Púrpura Fulminans neonatal é uma condição com risco de vida e a triagem familiar também é obrigatória para o reconhecimento precoce da doença nos irmãos.</w:t>
      </w:r>
    </w:p>
    <w:p w:rsidR="00130611" w:rsidRDefault="00130611" w:rsidP="00130611">
      <w:pPr>
        <w:jc w:val="both"/>
      </w:pPr>
    </w:p>
    <w:p w:rsidR="00130611" w:rsidRDefault="00130611" w:rsidP="00130611">
      <w:pPr>
        <w:jc w:val="both"/>
      </w:pPr>
      <w:r>
        <w:t>Palavras-chave: Purpura Fulminans Neonatal, Proteína C.</w:t>
      </w:r>
    </w:p>
    <w:p w:rsidR="00130611" w:rsidRDefault="00130611" w:rsidP="00130611">
      <w:pPr>
        <w:jc w:val="both"/>
      </w:pPr>
    </w:p>
    <w:p w:rsidR="00130611" w:rsidRDefault="00130611" w:rsidP="00130611">
      <w:pPr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5400040" cy="4343756"/>
            <wp:effectExtent l="19050" t="19050" r="10160" b="18694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34375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611" w:rsidRDefault="00130611" w:rsidP="00130611">
      <w:pPr>
        <w:jc w:val="both"/>
      </w:pPr>
    </w:p>
    <w:p w:rsidR="00267EF7" w:rsidRDefault="00267EF7" w:rsidP="00130611">
      <w:pPr>
        <w:autoSpaceDE w:val="0"/>
        <w:autoSpaceDN w:val="0"/>
        <w:adjustRightInd w:val="0"/>
        <w:rPr>
          <w:rFonts w:ascii="MyriadPro-Bold" w:hAnsi="MyriadPro-Bold" w:cs="MyriadPro-Bold"/>
          <w:b/>
          <w:bCs/>
          <w:sz w:val="28"/>
          <w:szCs w:val="28"/>
          <w:lang w:val="es-ES" w:eastAsia="en-US"/>
        </w:rPr>
      </w:pPr>
    </w:p>
    <w:p w:rsidR="00267EF7" w:rsidRDefault="00267EF7" w:rsidP="00130611">
      <w:pPr>
        <w:autoSpaceDE w:val="0"/>
        <w:autoSpaceDN w:val="0"/>
        <w:adjustRightInd w:val="0"/>
        <w:rPr>
          <w:rFonts w:ascii="MyriadPro-Bold" w:hAnsi="MyriadPro-Bold" w:cs="MyriadPro-Bold"/>
          <w:b/>
          <w:bCs/>
          <w:sz w:val="28"/>
          <w:szCs w:val="28"/>
          <w:lang w:val="es-ES" w:eastAsia="en-US"/>
        </w:rPr>
      </w:pPr>
    </w:p>
    <w:p w:rsidR="00267EF7" w:rsidRDefault="00267EF7" w:rsidP="00130611">
      <w:pPr>
        <w:autoSpaceDE w:val="0"/>
        <w:autoSpaceDN w:val="0"/>
        <w:adjustRightInd w:val="0"/>
        <w:rPr>
          <w:rFonts w:ascii="MyriadPro-Bold" w:hAnsi="MyriadPro-Bold" w:cs="MyriadPro-Bold"/>
          <w:b/>
          <w:bCs/>
          <w:sz w:val="28"/>
          <w:szCs w:val="28"/>
          <w:lang w:val="es-ES" w:eastAsia="en-US"/>
        </w:rPr>
      </w:pPr>
    </w:p>
    <w:p w:rsidR="00130611" w:rsidRPr="00267EF7" w:rsidRDefault="00267EF7" w:rsidP="00130611">
      <w:pPr>
        <w:autoSpaceDE w:val="0"/>
        <w:autoSpaceDN w:val="0"/>
        <w:adjustRightInd w:val="0"/>
        <w:rPr>
          <w:rFonts w:ascii="MyriadPro-Bold" w:hAnsi="MyriadPro-Bold" w:cs="MyriadPro-Bold"/>
          <w:b/>
          <w:bCs/>
          <w:color w:val="FF0000"/>
          <w:sz w:val="28"/>
          <w:szCs w:val="28"/>
          <w:lang w:val="es-ES" w:eastAsia="en-US"/>
        </w:rPr>
      </w:pPr>
      <w:r w:rsidRPr="00267EF7">
        <w:rPr>
          <w:rFonts w:ascii="MyriadPro-Bold" w:hAnsi="MyriadPro-Bold" w:cs="MyriadPro-Bold"/>
          <w:b/>
          <w:bCs/>
          <w:color w:val="FF0000"/>
          <w:sz w:val="28"/>
          <w:szCs w:val="28"/>
          <w:lang w:val="es-ES" w:eastAsia="en-US"/>
        </w:rPr>
        <w:t>REFERENCES</w:t>
      </w:r>
    </w:p>
    <w:p w:rsidR="00130611" w:rsidRPr="00267EF7" w:rsidRDefault="00130611" w:rsidP="00130611">
      <w:pPr>
        <w:autoSpaceDE w:val="0"/>
        <w:autoSpaceDN w:val="0"/>
        <w:adjustRightInd w:val="0"/>
        <w:rPr>
          <w:rFonts w:ascii="MyriadPro-Bold" w:hAnsi="MyriadPro-Bold" w:cs="MyriadPro-Bold"/>
          <w:b/>
          <w:bCs/>
          <w:color w:val="FF0000"/>
          <w:lang w:val="es-ES" w:eastAsia="en-US"/>
        </w:rPr>
      </w:pP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1. Van Der Horst RL. Purpura fulminans in a newborn baby. Arch Dis Child. 1962; 37: 436-41.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2. Marlar RA, Neumann A. Neonatal purpura fulminans due to homozygous protein C or protein S deficiencies. Semin Thromb</w:t>
      </w:r>
      <w:r>
        <w:rPr>
          <w:rFonts w:ascii="MyriadPro-Regular" w:hAnsi="MyriadPro-Regular" w:cs="MyriadPro-Regular"/>
          <w:lang w:val="es-ES" w:eastAsia="en-US"/>
        </w:rPr>
        <w:t xml:space="preserve"> </w:t>
      </w:r>
      <w:r w:rsidRPr="00BC0085">
        <w:rPr>
          <w:rFonts w:ascii="MyriadPro-Regular" w:hAnsi="MyriadPro-Regular" w:cs="MyriadPro-Regular"/>
          <w:lang w:val="es-ES" w:eastAsia="en-US"/>
        </w:rPr>
        <w:t>Hemost. 1990; 16:299-309.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3. Chalmers E, Cooper P, Forman K, Grimley C, Khair K, Minford A, et al. Purpura fulminans: recognition, diagnosis and management. Arch Dis Child. 2011; 96:1066-71.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4. Francis RB, Jr. Acquired purpura fulminans. Semin Thromb Hemost. 1990; 16:310-</w:t>
      </w:r>
      <w:r>
        <w:rPr>
          <w:rFonts w:ascii="MyriadPro-Regular" w:hAnsi="MyriadPro-Regular" w:cs="MyriadPro-Regular"/>
          <w:lang w:val="es-ES" w:eastAsia="en-US"/>
        </w:rPr>
        <w:t xml:space="preserve"> </w:t>
      </w:r>
      <w:r w:rsidRPr="00BC0085">
        <w:rPr>
          <w:rFonts w:ascii="MyriadPro-Regular" w:hAnsi="MyriadPro-Regular" w:cs="MyriadPro-Regular"/>
          <w:lang w:val="es-ES" w:eastAsia="en-US"/>
        </w:rPr>
        <w:t>5.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5. Price VE, Ledingham DL, Krumpel A, Chan AK. Diagnosis and management of neonatal purpura fulminans. Semin Fetal</w:t>
      </w:r>
      <w:r>
        <w:rPr>
          <w:rFonts w:ascii="MyriadPro-Regular" w:hAnsi="MyriadPro-Regular" w:cs="MyriadPro-Regular"/>
          <w:lang w:val="es-ES" w:eastAsia="en-US"/>
        </w:rPr>
        <w:t xml:space="preserve"> </w:t>
      </w:r>
      <w:r w:rsidRPr="00BC0085">
        <w:rPr>
          <w:rFonts w:ascii="MyriadPro-Regular" w:hAnsi="MyriadPro-Regular" w:cs="MyriadPro-Regular"/>
          <w:lang w:val="es-ES" w:eastAsia="en-US"/>
        </w:rPr>
        <w:t>Neonatal Med. 2011; 16:318-22.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 xml:space="preserve">6. Branson HE, Katz J, Marble R, Griffin JH. Inherited protein C </w:t>
      </w:r>
      <w:r w:rsidRPr="00E8707B">
        <w:rPr>
          <w:rFonts w:ascii="MyriadPro-Regular" w:hAnsi="MyriadPro-Regular" w:cs="MyriadPro-Regular"/>
          <w:lang w:val="es-ES" w:eastAsia="en-US"/>
        </w:rPr>
        <w:t xml:space="preserve">deficiency and coumarin-responsive chronic relapsing púrpura </w:t>
      </w:r>
      <w:r w:rsidRPr="00BC0085">
        <w:rPr>
          <w:rFonts w:ascii="MyriadPro-Regular" w:hAnsi="MyriadPro-Regular" w:cs="MyriadPro-Regular"/>
          <w:lang w:val="es-ES" w:eastAsia="en-US"/>
        </w:rPr>
        <w:t>fulminans in a newborn infant. Lancet. 1983; 2:1165-8.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7. Dogan Y, Aygun D, Yilmaz Y, Kanra G, Secmeer G, Besbas N, et al. Severe protein S deficiency associated with heterozygous factor V Leiden mutation in a child with purpura fulminans. Pediatr Hematol Oncol. 2003; 20:1-5.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>8. Manco-Johnson MJ, Abshire TC, Jacobson LJ, Marlar RA. Severe neonatal protein C deficiency: prevalence and thrombotic risk. J Pediatr. 1991; 119:793-8.</w:t>
      </w:r>
    </w:p>
    <w:p w:rsidR="00130611" w:rsidRPr="00BC0085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val="es-ES"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lastRenderedPageBreak/>
        <w:t>9. Hattenbach LO, Beeg T, Kreuz W, Zubcov A. Ophthalmic manifestation of congenital protein C deficiency. J AAPOS. 1999;</w:t>
      </w:r>
      <w:r>
        <w:rPr>
          <w:rFonts w:ascii="MyriadPro-Regular" w:hAnsi="MyriadPro-Regular" w:cs="MyriadPro-Regular"/>
          <w:lang w:val="es-ES" w:eastAsia="en-US"/>
        </w:rPr>
        <w:t xml:space="preserve"> </w:t>
      </w:r>
      <w:r w:rsidRPr="00BC0085">
        <w:rPr>
          <w:rFonts w:ascii="MyriadPro-Regular" w:hAnsi="MyriadPro-Regular" w:cs="MyriadPro-Regular"/>
          <w:lang w:val="es-ES" w:eastAsia="en-US"/>
        </w:rPr>
        <w:t xml:space="preserve">3:188-90. </w:t>
      </w:r>
    </w:p>
    <w:p w:rsidR="00130611" w:rsidRPr="00DE490F" w:rsidRDefault="00130611" w:rsidP="00130611">
      <w:pPr>
        <w:autoSpaceDE w:val="0"/>
        <w:autoSpaceDN w:val="0"/>
        <w:adjustRightInd w:val="0"/>
        <w:rPr>
          <w:rFonts w:ascii="MyriadPro-Regular" w:hAnsi="MyriadPro-Regular" w:cs="MyriadPro-Regular"/>
          <w:lang w:eastAsia="en-US"/>
        </w:rPr>
      </w:pPr>
      <w:r w:rsidRPr="00BC0085">
        <w:rPr>
          <w:rFonts w:ascii="MyriadPro-Regular" w:hAnsi="MyriadPro-Regular" w:cs="MyriadPro-Regular"/>
          <w:lang w:val="es-ES" w:eastAsia="en-US"/>
        </w:rPr>
        <w:t xml:space="preserve">10. Goldenberg NA, Manco-Johnson MJ. </w:t>
      </w:r>
      <w:proofErr w:type="spellStart"/>
      <w:r w:rsidRPr="00DE490F">
        <w:rPr>
          <w:rFonts w:ascii="MyriadPro-Regular" w:hAnsi="MyriadPro-Regular" w:cs="MyriadPro-Regular"/>
          <w:lang w:eastAsia="en-US"/>
        </w:rPr>
        <w:t>Protein</w:t>
      </w:r>
      <w:proofErr w:type="spellEnd"/>
      <w:r w:rsidRPr="00DE490F">
        <w:rPr>
          <w:rFonts w:ascii="MyriadPro-Regular" w:hAnsi="MyriadPro-Regular" w:cs="MyriadPro-Regular"/>
          <w:lang w:eastAsia="en-US"/>
        </w:rPr>
        <w:t xml:space="preserve"> C </w:t>
      </w:r>
      <w:proofErr w:type="spellStart"/>
      <w:r w:rsidRPr="00DE490F">
        <w:rPr>
          <w:rFonts w:ascii="MyriadPro-Regular" w:hAnsi="MyriadPro-Regular" w:cs="MyriadPro-Regular"/>
          <w:lang w:eastAsia="en-US"/>
        </w:rPr>
        <w:t>deficiency</w:t>
      </w:r>
      <w:proofErr w:type="spellEnd"/>
      <w:r w:rsidRPr="00DE490F">
        <w:rPr>
          <w:rFonts w:ascii="MyriadPro-Regular" w:hAnsi="MyriadPro-Regular" w:cs="MyriadPro-Regular"/>
          <w:lang w:eastAsia="en-US"/>
        </w:rPr>
        <w:t xml:space="preserve">. </w:t>
      </w:r>
      <w:proofErr w:type="spellStart"/>
      <w:r w:rsidRPr="00DE490F">
        <w:rPr>
          <w:rFonts w:ascii="MyriadPro-Regular" w:hAnsi="MyriadPro-Regular" w:cs="MyriadPro-Regular"/>
          <w:lang w:eastAsia="en-US"/>
        </w:rPr>
        <w:t>Haemophilia</w:t>
      </w:r>
      <w:proofErr w:type="spellEnd"/>
      <w:r w:rsidRPr="00DE490F">
        <w:rPr>
          <w:rFonts w:ascii="MyriadPro-Regular" w:hAnsi="MyriadPro-Regular" w:cs="MyriadPro-Regular"/>
          <w:lang w:eastAsia="en-US"/>
        </w:rPr>
        <w:t xml:space="preserve">. 2008; </w:t>
      </w:r>
      <w:proofErr w:type="gramStart"/>
      <w:r w:rsidRPr="00DE490F">
        <w:rPr>
          <w:rFonts w:ascii="MyriadPro-Regular" w:hAnsi="MyriadPro-Regular" w:cs="MyriadPro-Regular"/>
          <w:lang w:eastAsia="en-US"/>
        </w:rPr>
        <w:t>14:1214</w:t>
      </w:r>
      <w:proofErr w:type="gramEnd"/>
      <w:r w:rsidRPr="00DE490F">
        <w:rPr>
          <w:rFonts w:ascii="MyriadPro-Regular" w:hAnsi="MyriadPro-Regular" w:cs="MyriadPro-Regular"/>
          <w:lang w:eastAsia="en-US"/>
        </w:rPr>
        <w:t xml:space="preserve">-21 </w:t>
      </w:r>
    </w:p>
    <w:p w:rsidR="00920AED" w:rsidRDefault="00920AED"/>
    <w:p w:rsidR="008767F6" w:rsidRDefault="008767F6"/>
    <w:p w:rsidR="008767F6" w:rsidRDefault="008767F6"/>
    <w:p w:rsidR="008767F6" w:rsidRDefault="008767F6"/>
    <w:p w:rsidR="008767F6" w:rsidRDefault="008767F6" w:rsidP="008767F6">
      <w:pPr>
        <w:jc w:val="center"/>
        <w:rPr>
          <w:b/>
          <w:color w:val="0000FF"/>
          <w:sz w:val="32"/>
          <w:szCs w:val="32"/>
        </w:rPr>
      </w:pPr>
      <w:r w:rsidRPr="00BB12AD">
        <w:rPr>
          <w:b/>
          <w:color w:val="0000FF"/>
          <w:sz w:val="32"/>
          <w:szCs w:val="32"/>
        </w:rPr>
        <w:t>Nota do Editor do site, Dr. Paulo R. Margotto. Consultem também!</w:t>
      </w:r>
      <w:r w:rsidRPr="00C53650">
        <w:rPr>
          <w:noProof/>
          <w:lang w:eastAsia="pt-BR"/>
        </w:rPr>
        <w:t xml:space="preserve"> </w:t>
      </w:r>
      <w:r w:rsidRPr="00BB12AD">
        <w:rPr>
          <w:b/>
          <w:color w:val="0000FF"/>
          <w:sz w:val="32"/>
          <w:szCs w:val="32"/>
        </w:rPr>
        <w:t>Estudando Juntos!</w:t>
      </w:r>
    </w:p>
    <w:p w:rsidR="00000000" w:rsidRPr="00DE490F" w:rsidRDefault="00DE490F" w:rsidP="00DE490F">
      <w:pPr>
        <w:ind w:left="720"/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</w:t>
      </w:r>
      <w:hyperlink r:id="rId14" w:history="1">
        <w:r w:rsidRPr="00DE490F">
          <w:rPr>
            <w:rStyle w:val="Hyperlink"/>
            <w:b/>
            <w:color w:val="FF3399"/>
            <w:sz w:val="32"/>
            <w:szCs w:val="32"/>
            <w:u w:val="none"/>
          </w:rPr>
          <w:t xml:space="preserve">CONSULTEM </w:t>
        </w:r>
        <w:r w:rsidRPr="00D311D3">
          <w:rPr>
            <w:rStyle w:val="Hyperlink"/>
            <w:b/>
            <w:sz w:val="32"/>
            <w:szCs w:val="32"/>
          </w:rPr>
          <w:t>https://pt.khanacademy.org/science/health-and-medicine/advanced-hematologic-system/bleeding-and-impaired-hemostasis/v/anticoagulation</w:t>
        </w:r>
      </w:hyperlink>
      <w:r w:rsidRPr="00DE490F">
        <w:rPr>
          <w:b/>
          <w:color w:val="0000FF"/>
          <w:sz w:val="32"/>
          <w:szCs w:val="32"/>
        </w:rPr>
        <w:t xml:space="preserve"> </w:t>
      </w:r>
    </w:p>
    <w:p w:rsidR="008767F6" w:rsidRDefault="008767F6" w:rsidP="008767F6">
      <w:pPr>
        <w:jc w:val="center"/>
        <w:rPr>
          <w:b/>
          <w:color w:val="0000FF"/>
          <w:sz w:val="32"/>
          <w:szCs w:val="32"/>
        </w:rPr>
      </w:pPr>
    </w:p>
    <w:p w:rsidR="00DE490F" w:rsidRDefault="00DE490F" w:rsidP="008767F6">
      <w:pPr>
        <w:jc w:val="center"/>
        <w:rPr>
          <w:b/>
          <w:color w:val="0000FF"/>
          <w:sz w:val="32"/>
          <w:szCs w:val="32"/>
        </w:rPr>
      </w:pPr>
    </w:p>
    <w:p w:rsidR="00DE490F" w:rsidRPr="00BB12AD" w:rsidRDefault="00DE490F" w:rsidP="008767F6">
      <w:pPr>
        <w:jc w:val="center"/>
        <w:rPr>
          <w:b/>
          <w:color w:val="0000FF"/>
          <w:sz w:val="32"/>
          <w:szCs w:val="32"/>
        </w:rPr>
      </w:pPr>
    </w:p>
    <w:p w:rsidR="008767F6" w:rsidRDefault="008767F6" w:rsidP="008767F6">
      <w:pPr>
        <w:jc w:val="both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400040" cy="3036627"/>
            <wp:effectExtent l="19050" t="0" r="0" b="0"/>
            <wp:docPr id="10" name="Imagem 1" descr="C:\Users\user\Desktop\20191203_20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91203_2059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7F6" w:rsidRDefault="008767F6" w:rsidP="008767F6">
      <w:pPr>
        <w:jc w:val="both"/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</w:t>
      </w:r>
    </w:p>
    <w:p w:rsidR="008767F6" w:rsidRPr="008767F6" w:rsidRDefault="008767F6" w:rsidP="008767F6">
      <w:pPr>
        <w:jc w:val="center"/>
        <w:rPr>
          <w:noProof/>
          <w:color w:val="0000FF"/>
          <w:lang w:eastAsia="pt-BR"/>
        </w:rPr>
      </w:pPr>
      <w:r w:rsidRPr="008767F6">
        <w:rPr>
          <w:noProof/>
          <w:color w:val="0000FF"/>
          <w:lang w:eastAsia="pt-BR"/>
        </w:rPr>
        <w:t>Drs. Maria, Liu, Olga, Paulo R. Margotto, Bernadete, Débora, Maura e Marta R.de  Moura</w:t>
      </w:r>
    </w:p>
    <w:p w:rsidR="008767F6" w:rsidRPr="00C53650" w:rsidRDefault="008767F6" w:rsidP="008767F6">
      <w:pPr>
        <w:pStyle w:val="Ttulo1"/>
        <w:spacing w:before="200" w:beforeAutospacing="0" w:after="40" w:afterAutospacing="0"/>
        <w:jc w:val="center"/>
        <w:rPr>
          <w:rFonts w:ascii="Lato" w:hAnsi="Lato"/>
          <w:color w:val="0000FF"/>
          <w:sz w:val="36"/>
          <w:szCs w:val="36"/>
        </w:rPr>
      </w:pPr>
      <w:r w:rsidRPr="00C53650">
        <w:rPr>
          <w:rFonts w:ascii="Lato" w:hAnsi="Lato"/>
          <w:color w:val="0000FF"/>
          <w:sz w:val="36"/>
          <w:szCs w:val="36"/>
        </w:rPr>
        <w:t>DISTÚRBIOS HEMORRÁGICOS-2020</w:t>
      </w:r>
    </w:p>
    <w:p w:rsidR="008767F6" w:rsidRDefault="008767F6" w:rsidP="008767F6">
      <w:pPr>
        <w:jc w:val="center"/>
      </w:pPr>
      <w:r>
        <w:rPr>
          <w:noProof/>
          <w:color w:val="78909C"/>
          <w:lang w:eastAsia="pt-BR"/>
        </w:rPr>
        <w:drawing>
          <wp:inline distT="0" distB="0" distL="0" distR="0">
            <wp:extent cx="457200" cy="457200"/>
            <wp:effectExtent l="19050" t="0" r="0" b="0"/>
            <wp:docPr id="8" name="Imagem 13" descr="doc">
              <a:hlinkClick xmlns:a="http://schemas.openxmlformats.org/drawingml/2006/main" r:id="rId16" tooltip="&quot;NOVO-DISTURBIOS_HEMORRAGICO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oc">
                      <a:hlinkClick r:id="rId16" tooltip="&quot;NOVO-DISTURBIOS_HEMORRAGICO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7F6" w:rsidRDefault="008767F6" w:rsidP="008767F6">
      <w:pPr>
        <w:pStyle w:val="NormalWeb"/>
        <w:spacing w:before="0" w:beforeAutospacing="0" w:after="360" w:afterAutospacing="0" w:line="408" w:lineRule="atLeast"/>
        <w:jc w:val="center"/>
        <w:rPr>
          <w:rFonts w:ascii="Helvetica" w:hAnsi="Helvetica" w:cs="Helvetica"/>
          <w:color w:val="424242"/>
          <w:sz w:val="18"/>
          <w:szCs w:val="18"/>
        </w:rPr>
      </w:pPr>
      <w:r>
        <w:rPr>
          <w:rFonts w:ascii="Helvetica" w:hAnsi="Helvetica" w:cs="Helvetica"/>
          <w:color w:val="424242"/>
          <w:sz w:val="18"/>
          <w:szCs w:val="18"/>
        </w:rPr>
        <w:t>Paulo R. Margotto</w:t>
      </w:r>
    </w:p>
    <w:p w:rsidR="008767F6" w:rsidRDefault="008767F6" w:rsidP="008767F6">
      <w:pPr>
        <w:pStyle w:val="NormalWeb"/>
        <w:spacing w:before="0" w:beforeAutospacing="0" w:after="360" w:afterAutospacing="0" w:line="408" w:lineRule="atLeast"/>
        <w:jc w:val="center"/>
        <w:rPr>
          <w:rFonts w:ascii="Helvetica" w:hAnsi="Helvetica" w:cs="Helvetica"/>
          <w:color w:val="424242"/>
          <w:sz w:val="18"/>
          <w:szCs w:val="18"/>
        </w:rPr>
      </w:pPr>
      <w:r>
        <w:rPr>
          <w:rFonts w:ascii="Helvetica" w:hAnsi="Helvetica" w:cs="Helvetica"/>
          <w:color w:val="424242"/>
          <w:sz w:val="18"/>
          <w:szCs w:val="18"/>
        </w:rPr>
        <w:t>Capítulo do Livro Assistência ao Recém-Nascido de Risco, 4a Edição, 2020, no Prelo</w:t>
      </w:r>
    </w:p>
    <w:p w:rsidR="008767F6" w:rsidRDefault="008767F6" w:rsidP="008767F6">
      <w:pPr>
        <w:jc w:val="both"/>
        <w:rPr>
          <w:noProof/>
          <w:lang w:eastAsia="pt-BR"/>
        </w:rPr>
      </w:pPr>
    </w:p>
    <w:p w:rsidR="008767F6" w:rsidRDefault="008767F6" w:rsidP="008767F6">
      <w:pPr>
        <w:jc w:val="both"/>
        <w:rPr>
          <w:noProof/>
          <w:lang w:eastAsia="pt-BR"/>
        </w:rPr>
      </w:pPr>
    </w:p>
    <w:p w:rsidR="008767F6" w:rsidRDefault="008767F6" w:rsidP="008767F6">
      <w:pPr>
        <w:jc w:val="both"/>
      </w:pPr>
      <w:r>
        <w:rPr>
          <w:noProof/>
          <w:lang w:eastAsia="pt-BR"/>
        </w:rPr>
        <w:drawing>
          <wp:inline distT="0" distB="0" distL="0" distR="0">
            <wp:extent cx="5194300" cy="62801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628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7F6" w:rsidRDefault="008767F6" w:rsidP="008767F6">
      <w:pPr>
        <w:jc w:val="both"/>
      </w:pPr>
    </w:p>
    <w:p w:rsidR="008767F6" w:rsidRDefault="008767F6" w:rsidP="008767F6">
      <w:pPr>
        <w:jc w:val="both"/>
      </w:pPr>
    </w:p>
    <w:p w:rsidR="008767F6" w:rsidRDefault="008767F6" w:rsidP="008767F6">
      <w:pPr>
        <w:ind w:firstLine="708"/>
        <w:jc w:val="both"/>
      </w:pPr>
      <w:r w:rsidRPr="00491C6B">
        <w:rPr>
          <w:b/>
          <w:bCs/>
        </w:rPr>
        <w:t xml:space="preserve">A proteína C </w:t>
      </w:r>
      <w:r w:rsidRPr="00491C6B">
        <w:t>é uma proteína de coagulação dependente da vitamina K que é sintetizada no fígado.</w:t>
      </w:r>
      <w:r>
        <w:t xml:space="preserve"> </w:t>
      </w:r>
      <w:r w:rsidRPr="00491C6B">
        <w:t xml:space="preserve">A proteína C do plasma é ativada pelo complexo de formação de trombina ligada a um receptor na superfície celular endotelial (receptor trombomodulina [TM]. </w:t>
      </w:r>
      <w:r>
        <w:t xml:space="preserve"> </w:t>
      </w:r>
      <w:r w:rsidRPr="00491C6B">
        <w:t xml:space="preserve">TM e proteína endotelial C (EPCR) são ambos expressos nas células endoteliais e regulam a via da proteína C. </w:t>
      </w:r>
      <w:r>
        <w:t xml:space="preserve"> </w:t>
      </w:r>
      <w:r w:rsidRPr="00491C6B">
        <w:t xml:space="preserve">A trombina se liga à MT e atua como catalisador para a ativação da proteína C pela trombina. </w:t>
      </w:r>
      <w:r>
        <w:t xml:space="preserve"> </w:t>
      </w:r>
      <w:r w:rsidRPr="00491C6B">
        <w:t xml:space="preserve">O EPCR se liga à proteína C e melhora a ativação da proteína C por complexos de TM por 10 vezes. </w:t>
      </w:r>
      <w:r>
        <w:t xml:space="preserve"> </w:t>
      </w:r>
      <w:r w:rsidRPr="00491C6B">
        <w:t>A proteína C ativada (APC) inativa o fator (F) Va e FVIIIa por proteólise limitada, resultando em uma regulação negativa de geração de trombina.</w:t>
      </w:r>
      <w:r>
        <w:t xml:space="preserve"> </w:t>
      </w:r>
      <w:r w:rsidRPr="00491C6B">
        <w:t xml:space="preserve"> A atividade da APC é aprimorada pela  proteína S.</w:t>
      </w:r>
    </w:p>
    <w:p w:rsidR="008767F6" w:rsidRDefault="008767F6" w:rsidP="008767F6">
      <w:pPr>
        <w:ind w:firstLine="708"/>
        <w:jc w:val="both"/>
      </w:pPr>
    </w:p>
    <w:p w:rsidR="008767F6" w:rsidRPr="00BB12AD" w:rsidRDefault="008767F6" w:rsidP="008767F6">
      <w:pPr>
        <w:ind w:firstLine="708"/>
        <w:jc w:val="center"/>
        <w:rPr>
          <w:b/>
          <w:color w:val="FF0000"/>
          <w:sz w:val="28"/>
          <w:szCs w:val="28"/>
        </w:rPr>
      </w:pPr>
      <w:r w:rsidRPr="00BB12AD">
        <w:rPr>
          <w:b/>
          <w:color w:val="FF0000"/>
          <w:sz w:val="28"/>
          <w:szCs w:val="28"/>
        </w:rPr>
        <w:lastRenderedPageBreak/>
        <w:t>Portanto, a deficiência de proteína C ou S predispõe a diminuição da capacidade de reduzir a geração de trombina e um estado de  hipercoagulabilidade</w:t>
      </w:r>
    </w:p>
    <w:p w:rsidR="008767F6" w:rsidRDefault="008767F6" w:rsidP="008767F6">
      <w:pPr>
        <w:jc w:val="both"/>
      </w:pPr>
    </w:p>
    <w:p w:rsidR="008767F6" w:rsidRDefault="008767F6" w:rsidP="008767F6">
      <w:pPr>
        <w:ind w:firstLine="708"/>
        <w:jc w:val="center"/>
        <w:rPr>
          <w:color w:val="0000FF"/>
          <w:sz w:val="36"/>
          <w:szCs w:val="36"/>
        </w:rPr>
      </w:pPr>
      <w:r w:rsidRPr="00C53650">
        <w:rPr>
          <w:color w:val="0000FF"/>
          <w:sz w:val="36"/>
          <w:szCs w:val="36"/>
        </w:rPr>
        <w:t>Conduta</w:t>
      </w:r>
    </w:p>
    <w:p w:rsidR="008767F6" w:rsidRPr="00C53650" w:rsidRDefault="008767F6" w:rsidP="008767F6">
      <w:pPr>
        <w:ind w:firstLine="708"/>
        <w:jc w:val="center"/>
        <w:rPr>
          <w:color w:val="0000FF"/>
          <w:sz w:val="36"/>
          <w:szCs w:val="36"/>
        </w:rPr>
      </w:pPr>
    </w:p>
    <w:p w:rsidR="008767F6" w:rsidRDefault="008767F6" w:rsidP="008767F6">
      <w:pPr>
        <w:ind w:firstLine="708"/>
        <w:jc w:val="both"/>
      </w:pPr>
      <w:r w:rsidRPr="00FF7430">
        <w:t xml:space="preserve">Púrpura Fulminans é uma emergência hematológica, sendo obrigatório o reconhecimento e o início precoce do tratamento para evitar complicações. </w:t>
      </w:r>
    </w:p>
    <w:p w:rsidR="008767F6" w:rsidRPr="00FF7430" w:rsidRDefault="008767F6" w:rsidP="008767F6">
      <w:pPr>
        <w:ind w:firstLine="708"/>
        <w:jc w:val="both"/>
      </w:pPr>
      <w:r w:rsidRPr="00FF7430">
        <w:t>O diagnóstico precoce e o pronto gerenciamento são cruciais para evitar complicações e melhorar a morbidade e a mortalidade</w:t>
      </w:r>
    </w:p>
    <w:p w:rsidR="008767F6" w:rsidRDefault="008767F6" w:rsidP="008767F6">
      <w:pPr>
        <w:ind w:firstLine="708"/>
        <w:jc w:val="center"/>
      </w:pPr>
      <w:r w:rsidRPr="00FF7430">
        <w:t xml:space="preserve">O tratamento imediato é </w:t>
      </w:r>
      <w:r w:rsidRPr="00FF7430">
        <w:rPr>
          <w:b/>
        </w:rPr>
        <w:t>a transfusão de plasma fresco congelado</w:t>
      </w:r>
      <w:r w:rsidRPr="00FF7430">
        <w:t xml:space="preserve"> para substituir pró-coagulantes e anticoag</w:t>
      </w:r>
      <w:r>
        <w:t xml:space="preserve">ulantes que foram consumidos (o </w:t>
      </w:r>
      <w:r w:rsidRPr="00FF7430">
        <w:t>principal objetivo da transfusão de plasma fresco congelado é substituir a proteína C e a proteína S qu</w:t>
      </w:r>
      <w:r>
        <w:t xml:space="preserve">e estão severamente deficientes). </w:t>
      </w:r>
    </w:p>
    <w:p w:rsidR="008767F6" w:rsidRDefault="008767F6" w:rsidP="008767F6">
      <w:pPr>
        <w:ind w:firstLine="708"/>
        <w:jc w:val="center"/>
      </w:pPr>
      <w:r w:rsidRPr="00FF7430">
        <w:rPr>
          <w:b/>
          <w:bCs/>
        </w:rPr>
        <w:t>1 mL/kg de plasma fresco congelado  aumentará a concentração plasmática de proteína C em 1 UI/dL. O ideal é aumentar pelo menos 10 UI/dL enquanto aguarda o concentrado de proteína C</w:t>
      </w:r>
      <w:r>
        <w:rPr>
          <w:b/>
          <w:bCs/>
        </w:rPr>
        <w:t>.</w:t>
      </w:r>
    </w:p>
    <w:p w:rsidR="008767F6" w:rsidRDefault="008767F6" w:rsidP="008767F6">
      <w:pPr>
        <w:ind w:firstLine="708"/>
        <w:jc w:val="both"/>
      </w:pPr>
      <w:r w:rsidRPr="00FF7430">
        <w:t xml:space="preserve"> O concentrado de proteína C é recomendado na deficiência hereditária grave da proteína C após confirmar o diagnóstico para minimizar o uso do plasma fresco congelado.</w:t>
      </w:r>
    </w:p>
    <w:p w:rsidR="008767F6" w:rsidRPr="00FF7430" w:rsidRDefault="008767F6" w:rsidP="008767F6">
      <w:pPr>
        <w:ind w:firstLine="708"/>
        <w:jc w:val="both"/>
      </w:pPr>
    </w:p>
    <w:p w:rsidR="008767F6" w:rsidRDefault="008767F6" w:rsidP="008767F6">
      <w:pPr>
        <w:numPr>
          <w:ilvl w:val="0"/>
          <w:numId w:val="1"/>
        </w:numPr>
        <w:jc w:val="both"/>
      </w:pPr>
      <w:r w:rsidRPr="00FF7430">
        <w:rPr>
          <w:b/>
          <w:bCs/>
        </w:rPr>
        <w:t xml:space="preserve">Concentrados de proteína C: </w:t>
      </w:r>
      <w:r w:rsidRPr="00490A45">
        <w:rPr>
          <w:bCs/>
        </w:rPr>
        <w:t xml:space="preserve">Ceprotin </w:t>
      </w:r>
      <w:r w:rsidRPr="00FF7430">
        <w:t xml:space="preserve">(Baxter-EUA) e </w:t>
      </w:r>
      <w:r w:rsidRPr="00490A45">
        <w:rPr>
          <w:bCs/>
        </w:rPr>
        <w:t xml:space="preserve">Protexel </w:t>
      </w:r>
      <w:r w:rsidRPr="00FF7430">
        <w:t>(LFB-França);</w:t>
      </w:r>
    </w:p>
    <w:p w:rsidR="008767F6" w:rsidRPr="00FF7430" w:rsidRDefault="008767F6" w:rsidP="008767F6">
      <w:pPr>
        <w:numPr>
          <w:ilvl w:val="0"/>
          <w:numId w:val="1"/>
        </w:numPr>
        <w:jc w:val="both"/>
      </w:pPr>
      <w:r>
        <w:rPr>
          <w:b/>
          <w:bCs/>
        </w:rPr>
        <w:t xml:space="preserve">Dose: </w:t>
      </w:r>
      <w:r w:rsidRPr="00490A45">
        <w:rPr>
          <w:bCs/>
        </w:rPr>
        <w:t>para ambos os produtos é de 100 U/kg inicialmente, seguido de 50 U/kg a cada 6h (meia-vida 6 a 10 horas);</w:t>
      </w:r>
    </w:p>
    <w:p w:rsidR="008767F6" w:rsidRPr="00490A45" w:rsidRDefault="008767F6" w:rsidP="008767F6">
      <w:pPr>
        <w:numPr>
          <w:ilvl w:val="0"/>
          <w:numId w:val="1"/>
        </w:numPr>
        <w:jc w:val="both"/>
      </w:pPr>
      <w:r w:rsidRPr="00FF7430">
        <w:rPr>
          <w:b/>
          <w:bCs/>
        </w:rPr>
        <w:t xml:space="preserve"> Manutenção</w:t>
      </w:r>
      <w:r w:rsidRPr="00FF7430">
        <w:t xml:space="preserve">: </w:t>
      </w:r>
      <w:r w:rsidRPr="00FF7430">
        <w:rPr>
          <w:bCs/>
        </w:rPr>
        <w:t>anticoagulação oral isolad</w:t>
      </w:r>
      <w:r>
        <w:rPr>
          <w:bCs/>
        </w:rPr>
        <w:t>a ou concentrado de proteína C:</w:t>
      </w:r>
      <w:r w:rsidRPr="00FF7430">
        <w:rPr>
          <w:bCs/>
        </w:rPr>
        <w:t>30 a 50 U / kg a cada 1 a 3 dias</w:t>
      </w:r>
      <w:r>
        <w:rPr>
          <w:bCs/>
        </w:rPr>
        <w:t>.</w:t>
      </w:r>
    </w:p>
    <w:p w:rsidR="008767F6" w:rsidRPr="00490A45" w:rsidRDefault="008767F6" w:rsidP="008767F6">
      <w:pPr>
        <w:numPr>
          <w:ilvl w:val="0"/>
          <w:numId w:val="1"/>
        </w:numPr>
        <w:rPr>
          <w:b/>
          <w:bCs/>
        </w:rPr>
      </w:pPr>
      <w:r w:rsidRPr="00490A45">
        <w:rPr>
          <w:b/>
          <w:bCs/>
        </w:rPr>
        <w:t xml:space="preserve">Anticoagulação: </w:t>
      </w:r>
      <w:r w:rsidRPr="00490A45">
        <w:rPr>
          <w:bCs/>
        </w:rPr>
        <w:t>deve ser iniciada juntamente com a reposição de proteína C (concentrado ou plasma fresco) e é eficaz a longo prazo</w:t>
      </w:r>
      <w:r w:rsidRPr="00490A45">
        <w:rPr>
          <w:b/>
          <w:bCs/>
        </w:rPr>
        <w:t>;</w:t>
      </w:r>
    </w:p>
    <w:p w:rsidR="008767F6" w:rsidRPr="00490A45" w:rsidRDefault="008767F6" w:rsidP="008767F6">
      <w:pPr>
        <w:ind w:left="720"/>
        <w:jc w:val="both"/>
        <w:rPr>
          <w:b/>
          <w:bCs/>
        </w:rPr>
      </w:pPr>
      <w:r>
        <w:rPr>
          <w:b/>
          <w:bCs/>
        </w:rPr>
        <w:t xml:space="preserve">    -</w:t>
      </w:r>
      <w:r w:rsidRPr="00490A45">
        <w:rPr>
          <w:b/>
          <w:bCs/>
        </w:rPr>
        <w:t>Heparina não-fracionada ou de baixo peso molecular (1,0 e 1,5mg /kg/dose a cada 12 horas com um nível terapêutico de anti-Xa alvo de 0,5 a 1 U/mL).</w:t>
      </w:r>
      <w:r>
        <w:rPr>
          <w:b/>
          <w:bCs/>
        </w:rPr>
        <w:t>Pode ser usada por via endovenosa. Não usar em infusão contínua!</w:t>
      </w:r>
    </w:p>
    <w:p w:rsidR="008767F6" w:rsidRPr="00490A45" w:rsidRDefault="008767F6" w:rsidP="008767F6">
      <w:pPr>
        <w:ind w:left="720"/>
        <w:jc w:val="both"/>
      </w:pPr>
      <w:r w:rsidRPr="00490A45">
        <w:rPr>
          <w:b/>
          <w:bCs/>
        </w:rPr>
        <w:t xml:space="preserve">                                  </w:t>
      </w:r>
    </w:p>
    <w:p w:rsidR="008767F6" w:rsidRPr="008767F6" w:rsidRDefault="008767F6" w:rsidP="008767F6">
      <w:pPr>
        <w:ind w:firstLine="708"/>
        <w:jc w:val="center"/>
        <w:rPr>
          <w:color w:val="FF0000"/>
        </w:rPr>
      </w:pPr>
      <w:r w:rsidRPr="008767F6">
        <w:rPr>
          <w:color w:val="FF0000"/>
        </w:rPr>
        <w:t xml:space="preserve">Interessante: </w:t>
      </w:r>
      <w:r w:rsidRPr="008767F6">
        <w:rPr>
          <w:bCs/>
          <w:color w:val="FF0000"/>
        </w:rPr>
        <w:t>D-dímero crescente ou elevado pode ser um primeiro sinal de recorrência da púrpura fulminans.</w:t>
      </w:r>
    </w:p>
    <w:p w:rsidR="008767F6" w:rsidRDefault="008767F6" w:rsidP="008767F6">
      <w:pPr>
        <w:jc w:val="both"/>
      </w:pPr>
    </w:p>
    <w:p w:rsidR="008767F6" w:rsidRDefault="008767F6" w:rsidP="008767F6">
      <w:pPr>
        <w:jc w:val="both"/>
      </w:pPr>
      <w:r>
        <w:rPr>
          <w:noProof/>
          <w:lang w:eastAsia="pt-BR"/>
        </w:rPr>
        <w:drawing>
          <wp:inline distT="0" distB="0" distL="0" distR="0">
            <wp:extent cx="5400040" cy="2180032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8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7F6" w:rsidRDefault="008767F6" w:rsidP="008767F6">
      <w:pPr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5400040" cy="2329520"/>
            <wp:effectExtent l="19050" t="0" r="0" b="0"/>
            <wp:docPr id="5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32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7F6" w:rsidRDefault="008767F6" w:rsidP="008767F6">
      <w:pPr>
        <w:jc w:val="both"/>
      </w:pPr>
    </w:p>
    <w:p w:rsidR="008767F6" w:rsidRDefault="008767F6" w:rsidP="008767F6">
      <w:pPr>
        <w:jc w:val="both"/>
      </w:pPr>
      <w:r>
        <w:rPr>
          <w:noProof/>
          <w:lang w:eastAsia="pt-BR"/>
        </w:rPr>
        <w:drawing>
          <wp:inline distT="0" distB="0" distL="0" distR="0">
            <wp:extent cx="5400040" cy="3505072"/>
            <wp:effectExtent l="19050" t="0" r="0" b="0"/>
            <wp:docPr id="2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0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7F6" w:rsidRDefault="008767F6" w:rsidP="008767F6">
      <w:pPr>
        <w:jc w:val="center"/>
      </w:pPr>
      <w:r>
        <w:t>Paulo R. Margotto</w:t>
      </w:r>
    </w:p>
    <w:p w:rsidR="008767F6" w:rsidRDefault="008767F6" w:rsidP="008767F6">
      <w:pPr>
        <w:jc w:val="center"/>
      </w:pPr>
      <w:r>
        <w:t>Brasília, 14 de dezembro de 2019</w:t>
      </w:r>
    </w:p>
    <w:p w:rsidR="008767F6" w:rsidRDefault="008767F6"/>
    <w:p w:rsidR="008767F6" w:rsidRDefault="008767F6"/>
    <w:sectPr w:rsidR="008767F6" w:rsidSect="009962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Con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yriad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833EF"/>
    <w:multiLevelType w:val="hybridMultilevel"/>
    <w:tmpl w:val="30AEE2D8"/>
    <w:lvl w:ilvl="0" w:tplc="FDC41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082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EA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1CAE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F24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6C2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046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A2CC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3C7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5D70321"/>
    <w:multiLevelType w:val="hybridMultilevel"/>
    <w:tmpl w:val="8592A28C"/>
    <w:lvl w:ilvl="0" w:tplc="7D406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420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06F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308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EA6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A5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DA3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06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D6C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130611"/>
    <w:rsid w:val="00130611"/>
    <w:rsid w:val="00267EF7"/>
    <w:rsid w:val="004210E3"/>
    <w:rsid w:val="00425D0F"/>
    <w:rsid w:val="00453C95"/>
    <w:rsid w:val="006221FA"/>
    <w:rsid w:val="008767F6"/>
    <w:rsid w:val="00920AED"/>
    <w:rsid w:val="00BB7DF8"/>
    <w:rsid w:val="00DE490F"/>
    <w:rsid w:val="00DF2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0611"/>
    <w:rPr>
      <w:sz w:val="24"/>
      <w:szCs w:val="24"/>
      <w:lang w:eastAsia="ja-JP"/>
    </w:rPr>
  </w:style>
  <w:style w:type="paragraph" w:styleId="Ttulo1">
    <w:name w:val="heading 1"/>
    <w:basedOn w:val="Normal"/>
    <w:link w:val="Ttulo1Char"/>
    <w:uiPriority w:val="9"/>
    <w:qFormat/>
    <w:rsid w:val="008767F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3061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30611"/>
    <w:rPr>
      <w:rFonts w:ascii="Tahoma" w:hAnsi="Tahoma" w:cs="Tahoma"/>
      <w:sz w:val="16"/>
      <w:szCs w:val="16"/>
      <w:lang w:eastAsia="ja-JP"/>
    </w:rPr>
  </w:style>
  <w:style w:type="character" w:styleId="Hyperlink">
    <w:name w:val="Hyperlink"/>
    <w:uiPriority w:val="99"/>
    <w:rsid w:val="00267EF7"/>
    <w:rPr>
      <w:rFonts w:cs="Times New Roman"/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8767F6"/>
    <w:rPr>
      <w:rFonts w:eastAsia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8767F6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2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52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?linkname=pubmed_pubmed&amp;from_uid=29540887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ncbi.nlm.nih.gov/pubmed/29540887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gif"/><Relationship Id="rId2" Type="http://schemas.openxmlformats.org/officeDocument/2006/relationships/styles" Target="styles.xml"/><Relationship Id="rId16" Type="http://schemas.openxmlformats.org/officeDocument/2006/relationships/hyperlink" Target="http://paulomargotto.com.br/documentos/20156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pubmed/29540887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mailto:pmargotto@gmail.com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://www.paulomargotto.com.br" TargetMode="External"/><Relationship Id="rId14" Type="http://schemas.openxmlformats.org/officeDocument/2006/relationships/hyperlink" Target="CONSULTEM%20https://pt.khanacademy.org/science/health-and-medicine/advanced-hematologic-system/bleeding-and-impaired-hemostasis/v/anticoagulatio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2008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5</cp:revision>
  <cp:lastPrinted>2019-12-11T01:14:00Z</cp:lastPrinted>
  <dcterms:created xsi:type="dcterms:W3CDTF">2019-12-09T23:44:00Z</dcterms:created>
  <dcterms:modified xsi:type="dcterms:W3CDTF">2019-12-12T00:26:00Z</dcterms:modified>
</cp:coreProperties>
</file>