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47B8" w:rsidRDefault="009D264A" w:rsidP="007447B2">
      <w:pPr>
        <w:jc w:val="center"/>
        <w:rPr>
          <w:b/>
          <w:color w:val="FF0000"/>
          <w:sz w:val="36"/>
          <w:szCs w:val="36"/>
        </w:rPr>
      </w:pPr>
      <w:r>
        <w:rPr>
          <w:b/>
          <w:noProof/>
          <w:color w:val="FF0000"/>
          <w:sz w:val="36"/>
          <w:szCs w:val="36"/>
          <w:lang w:eastAsia="pt-BR"/>
        </w:rPr>
        <w:drawing>
          <wp:inline distT="0" distB="0" distL="0" distR="0">
            <wp:extent cx="3498850" cy="1727200"/>
            <wp:effectExtent l="19050" t="0" r="6350" b="0"/>
            <wp:docPr id="24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8850" cy="172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47B8" w:rsidRDefault="006E47B8" w:rsidP="007447B2">
      <w:pPr>
        <w:jc w:val="center"/>
        <w:rPr>
          <w:b/>
          <w:color w:val="FF0000"/>
          <w:sz w:val="36"/>
          <w:szCs w:val="36"/>
        </w:rPr>
      </w:pPr>
    </w:p>
    <w:p w:rsidR="00771018" w:rsidRPr="007447B2" w:rsidRDefault="007447B2" w:rsidP="007447B2">
      <w:pPr>
        <w:jc w:val="center"/>
        <w:rPr>
          <w:b/>
          <w:color w:val="FF0000"/>
          <w:sz w:val="36"/>
          <w:szCs w:val="36"/>
        </w:rPr>
      </w:pPr>
      <w:r w:rsidRPr="007447B2">
        <w:rPr>
          <w:b/>
          <w:color w:val="FF0000"/>
          <w:sz w:val="36"/>
          <w:szCs w:val="36"/>
        </w:rPr>
        <w:t>PÚRPURA FUL</w:t>
      </w:r>
      <w:r w:rsidR="006E47B8">
        <w:rPr>
          <w:b/>
          <w:color w:val="FF0000"/>
          <w:sz w:val="36"/>
          <w:szCs w:val="36"/>
        </w:rPr>
        <w:t>M</w:t>
      </w:r>
      <w:r w:rsidRPr="007447B2">
        <w:rPr>
          <w:b/>
          <w:color w:val="FF0000"/>
          <w:sz w:val="36"/>
          <w:szCs w:val="36"/>
        </w:rPr>
        <w:t>INA</w:t>
      </w:r>
      <w:r w:rsidR="006E47B8">
        <w:rPr>
          <w:b/>
          <w:color w:val="FF0000"/>
          <w:sz w:val="36"/>
          <w:szCs w:val="36"/>
        </w:rPr>
        <w:t>N</w:t>
      </w:r>
      <w:r w:rsidRPr="007447B2">
        <w:rPr>
          <w:b/>
          <w:color w:val="FF0000"/>
          <w:sz w:val="36"/>
          <w:szCs w:val="36"/>
        </w:rPr>
        <w:t>S ADQUIRIDA VER</w:t>
      </w:r>
      <w:r w:rsidR="006E47B8">
        <w:rPr>
          <w:b/>
          <w:color w:val="FF0000"/>
          <w:sz w:val="36"/>
          <w:szCs w:val="36"/>
        </w:rPr>
        <w:t>S</w:t>
      </w:r>
      <w:r w:rsidRPr="007447B2">
        <w:rPr>
          <w:b/>
          <w:color w:val="FF0000"/>
          <w:sz w:val="36"/>
          <w:szCs w:val="36"/>
        </w:rPr>
        <w:t xml:space="preserve">OS CONGÊNITA: Relato de caso </w:t>
      </w:r>
      <w:r>
        <w:rPr>
          <w:b/>
          <w:color w:val="FF0000"/>
          <w:sz w:val="36"/>
          <w:szCs w:val="36"/>
        </w:rPr>
        <w:t>e</w:t>
      </w:r>
      <w:r w:rsidRPr="007447B2">
        <w:rPr>
          <w:b/>
          <w:color w:val="FF0000"/>
          <w:sz w:val="36"/>
          <w:szCs w:val="36"/>
        </w:rPr>
        <w:t xml:space="preserve"> Revisão da Literatura</w:t>
      </w:r>
    </w:p>
    <w:p w:rsidR="00771018" w:rsidRPr="00B11304" w:rsidRDefault="007B5180" w:rsidP="00B11304">
      <w:pPr>
        <w:shd w:val="clear" w:color="auto" w:fill="FFFFFF"/>
        <w:jc w:val="center"/>
        <w:rPr>
          <w:rFonts w:eastAsia="Times New Roman"/>
          <w:color w:val="000000"/>
          <w:lang w:eastAsia="pt-BR"/>
        </w:rPr>
      </w:pPr>
      <w:hyperlink r:id="rId7" w:history="1">
        <w:r w:rsidR="00771018" w:rsidRPr="00B11304">
          <w:rPr>
            <w:rFonts w:eastAsia="Times New Roman"/>
            <w:color w:val="642A8F"/>
            <w:u w:val="single"/>
            <w:lang w:eastAsia="pt-BR"/>
          </w:rPr>
          <w:t>Acquired Versus Congenital Neonatal Purpura Fulminans: A Case Report and Literature Review.</w:t>
        </w:r>
      </w:hyperlink>
      <w:r w:rsidR="00771018" w:rsidRPr="00B11304">
        <w:rPr>
          <w:rFonts w:eastAsia="Times New Roman"/>
          <w:color w:val="000000"/>
          <w:lang w:eastAsia="pt-BR"/>
        </w:rPr>
        <w:t>Findley T, Patel M, Chapman J, Brown D, Duncan AF.</w:t>
      </w:r>
    </w:p>
    <w:p w:rsidR="00771018" w:rsidRPr="00B11304" w:rsidRDefault="00771018" w:rsidP="00B11304">
      <w:pPr>
        <w:shd w:val="clear" w:color="auto" w:fill="FFFFFF"/>
        <w:jc w:val="center"/>
        <w:rPr>
          <w:rFonts w:eastAsia="Times New Roman"/>
          <w:color w:val="000000"/>
          <w:lang w:eastAsia="pt-BR"/>
        </w:rPr>
      </w:pPr>
      <w:r w:rsidRPr="00B11304">
        <w:rPr>
          <w:rFonts w:eastAsia="Times New Roman"/>
          <w:color w:val="000000"/>
          <w:lang w:eastAsia="pt-BR"/>
        </w:rPr>
        <w:t>J Pediatr Hematol Oncol. 2018 Nov;40(8):625-627. doi: 10.1097/MPH.0000000000001150. Review.</w:t>
      </w:r>
      <w:r w:rsidRPr="00B11304">
        <w:rPr>
          <w:rFonts w:eastAsia="Times New Roman"/>
          <w:color w:val="575757"/>
          <w:lang w:eastAsia="pt-BR"/>
        </w:rPr>
        <w:t>PMID:</w:t>
      </w:r>
      <w:r w:rsidR="00B11304" w:rsidRPr="00B11304">
        <w:rPr>
          <w:rFonts w:eastAsia="Times New Roman"/>
          <w:color w:val="575757"/>
          <w:lang w:eastAsia="pt-BR"/>
        </w:rPr>
        <w:t xml:space="preserve"> </w:t>
      </w:r>
      <w:r w:rsidRPr="00B11304">
        <w:rPr>
          <w:rFonts w:eastAsia="Times New Roman"/>
          <w:color w:val="575757"/>
          <w:lang w:eastAsia="pt-BR"/>
        </w:rPr>
        <w:t>29683961</w:t>
      </w:r>
      <w:r w:rsidR="00B11304" w:rsidRPr="00B11304">
        <w:rPr>
          <w:rFonts w:eastAsia="Times New Roman"/>
          <w:color w:val="575757"/>
          <w:lang w:eastAsia="pt-BR"/>
        </w:rPr>
        <w:t xml:space="preserve">. </w:t>
      </w:r>
      <w:hyperlink r:id="rId8" w:history="1">
        <w:r w:rsidRPr="00B11304">
          <w:rPr>
            <w:rFonts w:eastAsia="Times New Roman"/>
            <w:color w:val="6666AA"/>
            <w:u w:val="single"/>
            <w:lang w:eastAsia="pt-BR"/>
          </w:rPr>
          <w:t>Similar articles</w:t>
        </w:r>
      </w:hyperlink>
      <w:r w:rsidR="00BC0085">
        <w:t>.Houston, Estados Unidos</w:t>
      </w:r>
    </w:p>
    <w:p w:rsidR="007447B2" w:rsidRDefault="007447B2" w:rsidP="00B11304">
      <w:pPr>
        <w:jc w:val="center"/>
      </w:pPr>
    </w:p>
    <w:p w:rsidR="00771018" w:rsidRDefault="007447B2" w:rsidP="00B11304">
      <w:pPr>
        <w:jc w:val="center"/>
      </w:pPr>
      <w:r>
        <w:t>Realizado por Paulo R. Margotto</w:t>
      </w:r>
    </w:p>
    <w:p w:rsidR="006E47B8" w:rsidRDefault="006E47B8" w:rsidP="00B11304">
      <w:pPr>
        <w:jc w:val="center"/>
      </w:pPr>
    </w:p>
    <w:p w:rsidR="007447B2" w:rsidRDefault="007447B2" w:rsidP="007447B2">
      <w:pPr>
        <w:jc w:val="center"/>
      </w:pPr>
      <w:r>
        <w:t xml:space="preserve">Ultrassonografista Neonatologista da Maternidade Brasília e </w:t>
      </w:r>
    </w:p>
    <w:p w:rsidR="007447B2" w:rsidRPr="00B921D0" w:rsidRDefault="007447B2" w:rsidP="007447B2">
      <w:pPr>
        <w:jc w:val="center"/>
      </w:pPr>
      <w:r>
        <w:t>Hospital Santa Lúcia</w:t>
      </w:r>
    </w:p>
    <w:p w:rsidR="007447B2" w:rsidRDefault="007447B2" w:rsidP="007447B2">
      <w:pPr>
        <w:jc w:val="center"/>
      </w:pPr>
      <w:r>
        <w:t>Unidade de Neonatologia do Hospital Materno Infantil de Brasília</w:t>
      </w:r>
    </w:p>
    <w:p w:rsidR="006E47B8" w:rsidRDefault="006E47B8" w:rsidP="007447B2">
      <w:pPr>
        <w:jc w:val="center"/>
      </w:pPr>
    </w:p>
    <w:p w:rsidR="007447B2" w:rsidRDefault="007447B2" w:rsidP="007447B2">
      <w:pPr>
        <w:jc w:val="center"/>
      </w:pPr>
      <w:r>
        <w:t>Brasília, 14 de dezembro de 2019</w:t>
      </w:r>
    </w:p>
    <w:p w:rsidR="007447B2" w:rsidRDefault="007B5180" w:rsidP="007447B2">
      <w:pPr>
        <w:jc w:val="center"/>
      </w:pPr>
      <w:hyperlink r:id="rId9" w:history="1">
        <w:r w:rsidR="007447B2" w:rsidRPr="001D5FBC">
          <w:rPr>
            <w:rStyle w:val="Hyperlink"/>
          </w:rPr>
          <w:t>www.paulomargotto.com.br</w:t>
        </w:r>
      </w:hyperlink>
    </w:p>
    <w:p w:rsidR="007447B2" w:rsidRDefault="007B5180" w:rsidP="007447B2">
      <w:pPr>
        <w:jc w:val="center"/>
      </w:pPr>
      <w:hyperlink r:id="rId10" w:history="1">
        <w:r w:rsidR="007447B2" w:rsidRPr="001D5FBC">
          <w:rPr>
            <w:rStyle w:val="Hyperlink"/>
          </w:rPr>
          <w:t>pmargotto@gmail.com</w:t>
        </w:r>
      </w:hyperlink>
    </w:p>
    <w:p w:rsidR="007447B2" w:rsidRPr="00B11304" w:rsidRDefault="007447B2" w:rsidP="00B11304">
      <w:pPr>
        <w:jc w:val="center"/>
      </w:pPr>
    </w:p>
    <w:p w:rsidR="00771018" w:rsidRDefault="00771018" w:rsidP="003B50E6"/>
    <w:p w:rsidR="003B4D9C" w:rsidRDefault="007447B2" w:rsidP="00FD73EA">
      <w:pPr>
        <w:ind w:firstLine="708"/>
        <w:jc w:val="both"/>
      </w:pPr>
      <w:r>
        <w:t>A púrpura fulmina</w:t>
      </w:r>
      <w:r w:rsidR="006E47B8">
        <w:t>n</w:t>
      </w:r>
      <w:r>
        <w:t>s neonatal (PF) é um distúrbio trombofílico raro que se apresenta poucas horas após o nascimento e causa infarto hemorrágico rapidamente progressivo de pele no cenário de coagulação intravascular disseminada</w:t>
      </w:r>
      <w:r w:rsidRPr="003B4D9C">
        <w:rPr>
          <w:vertAlign w:val="superscript"/>
        </w:rPr>
        <w:t>1</w:t>
      </w:r>
      <w:r>
        <w:t>.</w:t>
      </w:r>
      <w:r w:rsidR="00D94C0E">
        <w:t xml:space="preserve"> </w:t>
      </w:r>
      <w:r>
        <w:t>Pode haver falha multiorgânica associada secundária à trombose venosa de grandes vasos, colocando neonatos com alto risco de mortalidade ou morbidade precoce em sobreviventes.</w:t>
      </w:r>
      <w:r w:rsidR="00FD73EA">
        <w:t xml:space="preserve"> </w:t>
      </w:r>
      <w:r w:rsidR="003B50E6">
        <w:t>Complicações adicionais que afetam outros órgãos</w:t>
      </w:r>
      <w:r w:rsidR="00FD73EA">
        <w:t xml:space="preserve"> </w:t>
      </w:r>
      <w:r w:rsidR="003B50E6">
        <w:t>incluem trombose venosa cerebral, hemorragia vítrea</w:t>
      </w:r>
      <w:r w:rsidR="00FD73EA">
        <w:t xml:space="preserve"> </w:t>
      </w:r>
      <w:r w:rsidR="003B50E6">
        <w:t xml:space="preserve">e descolamento de retina resultando em cegueira e </w:t>
      </w:r>
      <w:r w:rsidR="003B4D9C">
        <w:t xml:space="preserve">trombose de </w:t>
      </w:r>
      <w:r w:rsidR="003B50E6">
        <w:t>veia renal</w:t>
      </w:r>
      <w:r w:rsidR="003B4D9C">
        <w:t>,</w:t>
      </w:r>
      <w:r w:rsidR="003B50E6">
        <w:t xml:space="preserve"> causando lesão renal.</w:t>
      </w:r>
      <w:r w:rsidR="003B50E6" w:rsidRPr="003B4D9C">
        <w:rPr>
          <w:vertAlign w:val="superscript"/>
        </w:rPr>
        <w:t>1,2</w:t>
      </w:r>
      <w:r w:rsidR="003B50E6">
        <w:t xml:space="preserve"> Necrose tecidual profunda</w:t>
      </w:r>
      <w:r w:rsidR="00FD73EA">
        <w:t xml:space="preserve"> </w:t>
      </w:r>
      <w:r w:rsidR="003B50E6">
        <w:t>pode exigir</w:t>
      </w:r>
      <w:r w:rsidR="00FD73EA">
        <w:t xml:space="preserve"> </w:t>
      </w:r>
      <w:r w:rsidR="003B4D9C">
        <w:t>de</w:t>
      </w:r>
      <w:r>
        <w:t>s</w:t>
      </w:r>
      <w:r w:rsidR="003B50E6">
        <w:t>bridamento cirúrgico ou amputação. N</w:t>
      </w:r>
      <w:r w:rsidR="003B4D9C">
        <w:t>a</w:t>
      </w:r>
      <w:r w:rsidR="00FD73EA">
        <w:t xml:space="preserve"> </w:t>
      </w:r>
      <w:r w:rsidR="003B50E6">
        <w:t>fase aguda, é fundamental para o reconhecimento imediato da doença,</w:t>
      </w:r>
      <w:r w:rsidR="00FD73EA">
        <w:t xml:space="preserve"> </w:t>
      </w:r>
      <w:r w:rsidR="003B4D9C">
        <w:t>pois</w:t>
      </w:r>
      <w:r w:rsidR="003B50E6">
        <w:t xml:space="preserve"> o início precoce da terapia pode salvar vidas e</w:t>
      </w:r>
      <w:r w:rsidR="00FD73EA">
        <w:t xml:space="preserve"> </w:t>
      </w:r>
      <w:r w:rsidR="003B50E6">
        <w:t>lesões potencialmente reversas da FP.</w:t>
      </w:r>
      <w:r w:rsidR="003B50E6" w:rsidRPr="003B4D9C">
        <w:rPr>
          <w:vertAlign w:val="superscript"/>
        </w:rPr>
        <w:t>3</w:t>
      </w:r>
      <w:r w:rsidR="003B50E6">
        <w:t xml:space="preserve"> </w:t>
      </w:r>
    </w:p>
    <w:p w:rsidR="009962F6" w:rsidRDefault="003B50E6" w:rsidP="003B4D9C">
      <w:pPr>
        <w:ind w:firstLine="708"/>
        <w:jc w:val="both"/>
      </w:pPr>
      <w:r>
        <w:t>A PF resulta de uma grave</w:t>
      </w:r>
      <w:r w:rsidR="00FD73EA">
        <w:t xml:space="preserve"> </w:t>
      </w:r>
      <w:r>
        <w:t>deficiência d</w:t>
      </w:r>
      <w:r w:rsidR="0034609B">
        <w:t>a</w:t>
      </w:r>
      <w:r>
        <w:t xml:space="preserve"> proteína C (PC), que pode ser adquirida ou congênita.</w:t>
      </w:r>
      <w:r w:rsidR="00FD73EA">
        <w:t xml:space="preserve"> </w:t>
      </w:r>
      <w:r>
        <w:t>PC é um fator anticoagulante produzido no fígado</w:t>
      </w:r>
      <w:r w:rsidR="00FD73EA">
        <w:t xml:space="preserve"> </w:t>
      </w:r>
      <w:r>
        <w:t>ativada pela trombomodulina ligada à trombina para</w:t>
      </w:r>
      <w:r w:rsidR="00FD73EA">
        <w:t xml:space="preserve"> </w:t>
      </w:r>
      <w:r>
        <w:t>fator inativo Va e fator VIIIa com cofator proteína S</w:t>
      </w:r>
      <w:r w:rsidR="00FD73EA">
        <w:t xml:space="preserve"> </w:t>
      </w:r>
      <w:r>
        <w:t>(PS) para aumentar a fibrinólise.</w:t>
      </w:r>
      <w:r w:rsidRPr="003B4D9C">
        <w:rPr>
          <w:vertAlign w:val="superscript"/>
        </w:rPr>
        <w:t>4</w:t>
      </w:r>
      <w:r>
        <w:t xml:space="preserve"> Uma vez suspeito para </w:t>
      </w:r>
      <w:r w:rsidR="003B4D9C">
        <w:t>deficiência d</w:t>
      </w:r>
      <w:r w:rsidR="0034609B">
        <w:t>a</w:t>
      </w:r>
      <w:r w:rsidR="003B4D9C">
        <w:t xml:space="preserve"> </w:t>
      </w:r>
      <w:r>
        <w:t>PC ou</w:t>
      </w:r>
      <w:r w:rsidR="00FD73EA">
        <w:t xml:space="preserve"> </w:t>
      </w:r>
      <w:r>
        <w:t>de PS, a obtenção dos níveis de PC e PS é crucial antes</w:t>
      </w:r>
      <w:r w:rsidR="003B4D9C">
        <w:t xml:space="preserve"> de </w:t>
      </w:r>
      <w:r>
        <w:t xml:space="preserve">iniciar a substituição dos fatores de coagulação por </w:t>
      </w:r>
      <w:r w:rsidR="003B4D9C">
        <w:t xml:space="preserve">plasma fresco </w:t>
      </w:r>
      <w:r>
        <w:t>congelado) que contém PC e PS</w:t>
      </w:r>
      <w:r w:rsidR="003B4D9C" w:rsidRPr="003B4D9C">
        <w:t xml:space="preserve"> </w:t>
      </w:r>
      <w:r w:rsidR="003B4D9C">
        <w:t>exógenas</w:t>
      </w:r>
      <w:r>
        <w:t>.</w:t>
      </w:r>
      <w:r w:rsidRPr="003B4D9C">
        <w:rPr>
          <w:vertAlign w:val="superscript"/>
        </w:rPr>
        <w:t>5</w:t>
      </w:r>
      <w:r>
        <w:t xml:space="preserve"> No entanto,</w:t>
      </w:r>
      <w:r w:rsidR="00FD73EA">
        <w:t xml:space="preserve"> </w:t>
      </w:r>
      <w:r>
        <w:t xml:space="preserve">distinção entre </w:t>
      </w:r>
      <w:r w:rsidR="003B4D9C">
        <w:t xml:space="preserve">deficiência de </w:t>
      </w:r>
      <w:r>
        <w:t>PC congênit</w:t>
      </w:r>
      <w:r w:rsidR="003B4D9C">
        <w:t>a</w:t>
      </w:r>
      <w:r>
        <w:t xml:space="preserve"> e adquirid</w:t>
      </w:r>
      <w:r w:rsidR="003B4D9C">
        <w:t>a</w:t>
      </w:r>
      <w:r>
        <w:t xml:space="preserve"> e</w:t>
      </w:r>
      <w:r w:rsidR="003B4D9C">
        <w:t xml:space="preserve"> a </w:t>
      </w:r>
      <w:r>
        <w:t>deficiência de PS pode se revelar difícil em situações agudas.</w:t>
      </w:r>
    </w:p>
    <w:p w:rsidR="003B50E6" w:rsidRDefault="003B50E6" w:rsidP="003B50E6"/>
    <w:p w:rsidR="003B50E6" w:rsidRPr="007447B2" w:rsidRDefault="003B50E6" w:rsidP="003B50E6">
      <w:pPr>
        <w:rPr>
          <w:b/>
          <w:color w:val="FF0000"/>
        </w:rPr>
      </w:pPr>
      <w:r w:rsidRPr="007447B2">
        <w:rPr>
          <w:b/>
          <w:color w:val="FF0000"/>
        </w:rPr>
        <w:t>APRESENTAÇÃO DO CASO</w:t>
      </w:r>
    </w:p>
    <w:p w:rsidR="00FD73EA" w:rsidRDefault="00FD73EA" w:rsidP="003B50E6"/>
    <w:p w:rsidR="003B50E6" w:rsidRDefault="003B50E6" w:rsidP="00FD73EA">
      <w:pPr>
        <w:ind w:firstLine="708"/>
        <w:jc w:val="both"/>
      </w:pPr>
      <w:r>
        <w:t xml:space="preserve">Um bebê de dois dias de idade é transferido para </w:t>
      </w:r>
      <w:r w:rsidR="003B4D9C">
        <w:t>a Unid</w:t>
      </w:r>
      <w:r w:rsidR="001D7D4F">
        <w:t>a</w:t>
      </w:r>
      <w:r w:rsidR="003B4D9C">
        <w:t>de de Atendimento do nosso Hospital</w:t>
      </w:r>
      <w:r>
        <w:t xml:space="preserve"> para avaliação da isquemia do membro. O paciente nasceu</w:t>
      </w:r>
      <w:r w:rsidR="00FD73EA">
        <w:t xml:space="preserve"> </w:t>
      </w:r>
      <w:r>
        <w:t>com 39 semanas de gestação, com escores A</w:t>
      </w:r>
      <w:r w:rsidR="003B4D9C">
        <w:t>pgar</w:t>
      </w:r>
      <w:r>
        <w:t xml:space="preserve"> de 8 e 9 em 1 e</w:t>
      </w:r>
      <w:r w:rsidR="00FD73EA">
        <w:t xml:space="preserve"> </w:t>
      </w:r>
      <w:r>
        <w:t xml:space="preserve">5 minutos, respectivamente. No </w:t>
      </w:r>
      <w:r w:rsidR="003B4D9C">
        <w:t>H</w:t>
      </w:r>
      <w:r>
        <w:t>ospital de origem, o paciente</w:t>
      </w:r>
      <w:r w:rsidR="00FD73EA">
        <w:t xml:space="preserve"> </w:t>
      </w:r>
      <w:r>
        <w:t>apresentou desconforto respiratório e foi intubado no dia</w:t>
      </w:r>
      <w:r w:rsidR="003B4D9C">
        <w:t xml:space="preserve"> 1  de vida</w:t>
      </w:r>
      <w:r>
        <w:t>. Ele logo desenvolveu extremidades inferiores escuras bilaterais que</w:t>
      </w:r>
      <w:r w:rsidR="00FD73EA">
        <w:t xml:space="preserve"> </w:t>
      </w:r>
      <w:r>
        <w:t xml:space="preserve">eram </w:t>
      </w:r>
      <w:r w:rsidR="00287D87">
        <w:t>frias ao toque</w:t>
      </w:r>
      <w:r>
        <w:t xml:space="preserve"> com diminuição da perfusão. Tratamento para </w:t>
      </w:r>
      <w:r w:rsidR="003B4D9C">
        <w:t xml:space="preserve">sepse </w:t>
      </w:r>
      <w:r>
        <w:t>presumid</w:t>
      </w:r>
      <w:r w:rsidR="003B4D9C">
        <w:t>a</w:t>
      </w:r>
      <w:r w:rsidR="00FD73EA">
        <w:t xml:space="preserve"> </w:t>
      </w:r>
      <w:r>
        <w:t xml:space="preserve">foi iniciada juntamente com suporte inotrópico. </w:t>
      </w:r>
      <w:r w:rsidR="003B4D9C">
        <w:t>Avaliação laboratorial</w:t>
      </w:r>
      <w:r w:rsidR="007447B2">
        <w:t xml:space="preserve"> </w:t>
      </w:r>
      <w:r>
        <w:t xml:space="preserve">revelou trombocitopenia com </w:t>
      </w:r>
      <w:r w:rsidR="003B4D9C">
        <w:t xml:space="preserve">estudos de </w:t>
      </w:r>
      <w:r>
        <w:t>coagulação prolongada. Os níveis de PC e PS foram coletados. Ele então desenvolveu</w:t>
      </w:r>
      <w:r w:rsidR="00FD73EA">
        <w:t xml:space="preserve"> </w:t>
      </w:r>
      <w:r>
        <w:t xml:space="preserve">hemorragia pulmonar e foi transferido para nossas instalações no </w:t>
      </w:r>
      <w:r w:rsidR="003B4D9C">
        <w:t>dia 2</w:t>
      </w:r>
      <w:r>
        <w:t xml:space="preserve">. Na chegada, a perfusão do paciente </w:t>
      </w:r>
      <w:r w:rsidR="003B4D9C">
        <w:t>era de</w:t>
      </w:r>
      <w:r>
        <w:t xml:space="preserve"> 4 segundos</w:t>
      </w:r>
      <w:r w:rsidR="00FD73EA">
        <w:t xml:space="preserve"> </w:t>
      </w:r>
      <w:r>
        <w:t>centralmente e 9 segundos distalmente. Suas extremidades inferiores estavam frias</w:t>
      </w:r>
      <w:r w:rsidR="00FD73EA">
        <w:t xml:space="preserve"> </w:t>
      </w:r>
      <w:r>
        <w:t>com extensa isquemia do pé esquerdo e hematomas no pé direito</w:t>
      </w:r>
      <w:r w:rsidR="003B4D9C">
        <w:t>.</w:t>
      </w:r>
    </w:p>
    <w:p w:rsidR="003B50E6" w:rsidRDefault="003B50E6" w:rsidP="00287D87">
      <w:pPr>
        <w:ind w:firstLine="708"/>
        <w:jc w:val="both"/>
      </w:pPr>
      <w:r>
        <w:t>A investigação inicial revelou trombocitopenia (61</w:t>
      </w:r>
      <w:r w:rsidR="00287D87">
        <w:t>.000</w:t>
      </w:r>
      <w:r>
        <w:t xml:space="preserve"> / mm3) e</w:t>
      </w:r>
      <w:r w:rsidR="00FD73EA">
        <w:t xml:space="preserve"> </w:t>
      </w:r>
      <w:r w:rsidR="00287D87">
        <w:t xml:space="preserve">resultados </w:t>
      </w:r>
      <w:r>
        <w:t>laborat</w:t>
      </w:r>
      <w:r w:rsidR="00287D87">
        <w:t>o</w:t>
      </w:r>
      <w:r>
        <w:t>ri</w:t>
      </w:r>
      <w:r w:rsidR="00287D87">
        <w:t>ais</w:t>
      </w:r>
      <w:r>
        <w:t xml:space="preserve"> consistentes com a coagulação intravascular disseminada (</w:t>
      </w:r>
      <w:r w:rsidR="0034609B">
        <w:t xml:space="preserve">tempo de </w:t>
      </w:r>
      <w:r>
        <w:t>protrombina</w:t>
      </w:r>
      <w:r w:rsidR="00FD73EA">
        <w:t xml:space="preserve"> </w:t>
      </w:r>
      <w:r>
        <w:t>tempo, 28,8 s; Índice Normalizado Internacional, 2,68; tempo de tromboplastina</w:t>
      </w:r>
      <w:r w:rsidR="0034609B">
        <w:t xml:space="preserve"> parcial</w:t>
      </w:r>
      <w:r>
        <w:t>, 108,4 s, fibrinogênio, 169 mg / dL, dímero D&gt; 20 μg /</w:t>
      </w:r>
      <w:r w:rsidR="00FD73EA">
        <w:t xml:space="preserve"> </w:t>
      </w:r>
      <w:r>
        <w:t xml:space="preserve">mL). A ultrassonografia </w:t>
      </w:r>
      <w:r w:rsidR="00287D87">
        <w:t>D</w:t>
      </w:r>
      <w:r>
        <w:t>oppler venosa dos membros inferiores não mostrou</w:t>
      </w:r>
      <w:r w:rsidR="00FD73EA">
        <w:t xml:space="preserve"> </w:t>
      </w:r>
      <w:r>
        <w:t xml:space="preserve">evidência de trombose. Entretanto, a ultrassonografia </w:t>
      </w:r>
      <w:r w:rsidR="00287D87">
        <w:t>D</w:t>
      </w:r>
      <w:r>
        <w:t>oppler arterial revelou</w:t>
      </w:r>
      <w:r w:rsidR="00287D87">
        <w:t xml:space="preserve"> trombose nas artérias superficiais do </w:t>
      </w:r>
      <w:r>
        <w:t>fêmur superficial esquerdo, poplítea, tibial anterior,</w:t>
      </w:r>
      <w:r w:rsidR="00FD73EA">
        <w:t xml:space="preserve"> </w:t>
      </w:r>
      <w:r>
        <w:t>e artérias tibiais posteriores</w:t>
      </w:r>
      <w:r w:rsidR="00287D87">
        <w:t xml:space="preserve">. </w:t>
      </w:r>
      <w:r>
        <w:t>Ultrassom de cabeça</w:t>
      </w:r>
      <w:r w:rsidR="00FD73EA">
        <w:t xml:space="preserve"> </w:t>
      </w:r>
      <w:r>
        <w:t>não demonstrou evidência de hemorragia intracraniana.</w:t>
      </w:r>
    </w:p>
    <w:p w:rsidR="00287D87" w:rsidRDefault="003B50E6" w:rsidP="00FD73EA">
      <w:pPr>
        <w:ind w:firstLine="708"/>
        <w:jc w:val="both"/>
      </w:pPr>
      <w:r>
        <w:t xml:space="preserve">Foi iniciado um gotejamento de heparina e foram realizadas transfusões de </w:t>
      </w:r>
      <w:r w:rsidR="007447B2">
        <w:t>plasma fresco</w:t>
      </w:r>
      <w:r w:rsidR="00287D87">
        <w:t xml:space="preserve"> congelado (10mL / kg)</w:t>
      </w:r>
      <w:r w:rsidR="00FD73EA">
        <w:t xml:space="preserve"> </w:t>
      </w:r>
      <w:r>
        <w:t xml:space="preserve">administrado a cada 12 horas devido à preocupação com a PF neonatal. </w:t>
      </w:r>
    </w:p>
    <w:p w:rsidR="00287D87" w:rsidRDefault="003B50E6" w:rsidP="00287D87">
      <w:pPr>
        <w:ind w:firstLine="708"/>
        <w:jc w:val="both"/>
      </w:pPr>
      <w:r>
        <w:t>O nível inicial d</w:t>
      </w:r>
      <w:r w:rsidR="00287D87">
        <w:t>a</w:t>
      </w:r>
      <w:r>
        <w:t xml:space="preserve"> PC</w:t>
      </w:r>
      <w:r w:rsidR="00FD73EA">
        <w:t xml:space="preserve"> </w:t>
      </w:r>
      <w:r>
        <w:t xml:space="preserve">do </w:t>
      </w:r>
      <w:r w:rsidR="00287D87">
        <w:t>H</w:t>
      </w:r>
      <w:r>
        <w:t xml:space="preserve">ospital de origem ao nascimento era indetectável (&lt;12%). </w:t>
      </w:r>
      <w:r w:rsidR="00287D87">
        <w:t xml:space="preserve">Os níveis seriados </w:t>
      </w:r>
      <w:r>
        <w:t>de PC obtidos diariamente durante a primeira semana de vida aumentaram até um pico</w:t>
      </w:r>
      <w:r w:rsidR="00FD73EA">
        <w:t xml:space="preserve"> </w:t>
      </w:r>
      <w:r>
        <w:t xml:space="preserve">de 111% (faixa normal, 25% a 124% desde o nascimento até 1 ano de idade). </w:t>
      </w:r>
      <w:r w:rsidR="00287D87">
        <w:t xml:space="preserve">Outros exames </w:t>
      </w:r>
      <w:r>
        <w:t xml:space="preserve"> laborat</w:t>
      </w:r>
      <w:r w:rsidR="00287D87">
        <w:t xml:space="preserve">oriais </w:t>
      </w:r>
      <w:r>
        <w:t xml:space="preserve"> de hematologia enviados eram normais, incluindo um nível de PS de 63%, antitrombina</w:t>
      </w:r>
      <w:r w:rsidR="00FD73EA">
        <w:t xml:space="preserve"> </w:t>
      </w:r>
      <w:r>
        <w:t>nível 77%, mutação do fator V de Leiden negativa e protrombina</w:t>
      </w:r>
      <w:r w:rsidR="00FD73EA">
        <w:t xml:space="preserve"> </w:t>
      </w:r>
      <w:r>
        <w:t xml:space="preserve">mutação negativa. </w:t>
      </w:r>
    </w:p>
    <w:p w:rsidR="003B50E6" w:rsidRDefault="003B50E6" w:rsidP="00287D87">
      <w:pPr>
        <w:ind w:firstLine="708"/>
        <w:jc w:val="both"/>
      </w:pPr>
      <w:r>
        <w:t xml:space="preserve">Dada </w:t>
      </w:r>
      <w:r w:rsidR="007447B2">
        <w:t>à</w:t>
      </w:r>
      <w:r>
        <w:t xml:space="preserve"> alta suspeita de deficiência d</w:t>
      </w:r>
      <w:r w:rsidR="0034609B">
        <w:t>a</w:t>
      </w:r>
      <w:r>
        <w:t xml:space="preserve"> PC, </w:t>
      </w:r>
      <w:r w:rsidR="00287D87">
        <w:t xml:space="preserve">teste </w:t>
      </w:r>
      <w:r>
        <w:t>genétic</w:t>
      </w:r>
      <w:r w:rsidR="00287D87">
        <w:t xml:space="preserve">o </w:t>
      </w:r>
      <w:r>
        <w:t xml:space="preserve">da mutação do gene PROC foi obtido com resultados normais. </w:t>
      </w:r>
      <w:r w:rsidR="00287D87">
        <w:t>Os</w:t>
      </w:r>
      <w:r>
        <w:t xml:space="preserve"> pais também foram testados e mostraram níveis normais de PC. </w:t>
      </w:r>
      <w:r w:rsidR="00287D87">
        <w:t>No dia 8 de vida</w:t>
      </w:r>
      <w:r>
        <w:t xml:space="preserve">, foi iniciado </w:t>
      </w:r>
      <w:r w:rsidR="000C5D67">
        <w:t xml:space="preserve">para o paciente </w:t>
      </w:r>
      <w:r>
        <w:t xml:space="preserve"> concentrado de PC não ativado</w:t>
      </w:r>
      <w:r w:rsidR="00FD73EA">
        <w:t xml:space="preserve"> </w:t>
      </w:r>
      <w:r>
        <w:t xml:space="preserve">(Ceprotin; Baxter Bioscience, Glendale, CA) por via intravenosa. Ele </w:t>
      </w:r>
      <w:r w:rsidR="007447B2">
        <w:t>foi desmamado</w:t>
      </w:r>
      <w:r>
        <w:t xml:space="preserve"> do </w:t>
      </w:r>
      <w:r w:rsidR="000C5D67">
        <w:t>plasma fresco congelado</w:t>
      </w:r>
      <w:r w:rsidR="007447B2">
        <w:t xml:space="preserve"> </w:t>
      </w:r>
      <w:r>
        <w:t xml:space="preserve">no </w:t>
      </w:r>
      <w:r w:rsidR="000C5D67">
        <w:t>dia 9 de vida</w:t>
      </w:r>
      <w:r>
        <w:t xml:space="preserve"> e o gotejamento de heparina foi </w:t>
      </w:r>
      <w:r w:rsidR="000C5D67">
        <w:t>tocado</w:t>
      </w:r>
      <w:r w:rsidR="007447B2">
        <w:t xml:space="preserve"> </w:t>
      </w:r>
      <w:r>
        <w:t>para</w:t>
      </w:r>
      <w:r w:rsidR="00FD73EA">
        <w:t xml:space="preserve"> </w:t>
      </w:r>
      <w:r>
        <w:t xml:space="preserve">enoxaparina </w:t>
      </w:r>
      <w:r w:rsidR="000C5D67">
        <w:t>no dia 16 de vi</w:t>
      </w:r>
      <w:r w:rsidR="0034609B">
        <w:t>d</w:t>
      </w:r>
      <w:r w:rsidR="000C5D67">
        <w:t>a</w:t>
      </w:r>
      <w:r>
        <w:t xml:space="preserve">. Os níveis repetidos de PC permaneceram estáveis ​​acima de um </w:t>
      </w:r>
      <w:r w:rsidR="000C5D67">
        <w:t xml:space="preserve">objetivo </w:t>
      </w:r>
      <w:r>
        <w:t xml:space="preserve"> de 25% durante a terapia com Ceprotin isoladamente (</w:t>
      </w:r>
      <w:r w:rsidR="000C5D67" w:rsidRPr="00477A6B">
        <w:rPr>
          <w:color w:val="0033CC"/>
        </w:rPr>
        <w:t>Figura 1</w:t>
      </w:r>
      <w:r>
        <w:t>).</w:t>
      </w:r>
    </w:p>
    <w:p w:rsidR="00B31B06" w:rsidRDefault="00B31B06" w:rsidP="00287D87">
      <w:pPr>
        <w:ind w:firstLine="708"/>
        <w:jc w:val="both"/>
      </w:pPr>
    </w:p>
    <w:p w:rsidR="00B31B06" w:rsidRDefault="009D264A" w:rsidP="00B31B06">
      <w:pPr>
        <w:jc w:val="both"/>
      </w:pPr>
      <w:r>
        <w:rPr>
          <w:noProof/>
          <w:lang w:eastAsia="pt-BR"/>
        </w:rPr>
        <w:lastRenderedPageBreak/>
        <w:drawing>
          <wp:inline distT="0" distB="0" distL="0" distR="0">
            <wp:extent cx="5397500" cy="2692400"/>
            <wp:effectExtent l="19050" t="19050" r="12700" b="12700"/>
            <wp:docPr id="23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7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7500" cy="2692400"/>
                    </a:xfrm>
                    <a:prstGeom prst="rect">
                      <a:avLst/>
                    </a:prstGeom>
                    <a:noFill/>
                    <a:ln w="19050" cmpd="sng">
                      <a:solidFill>
                        <a:srgbClr val="0070C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B31B06" w:rsidRPr="0034609B" w:rsidRDefault="0034609B" w:rsidP="0034609B">
      <w:pPr>
        <w:ind w:firstLine="708"/>
        <w:jc w:val="center"/>
        <w:rPr>
          <w:b/>
          <w:i/>
        </w:rPr>
      </w:pPr>
      <w:r w:rsidRPr="0034609B">
        <w:rPr>
          <w:b/>
          <w:i/>
        </w:rPr>
        <w:t>Figura 1- Tempo do curso do plasma fresco congelado e a utilização de Ceprotin com os correspondentes níveis da Prote</w:t>
      </w:r>
      <w:r>
        <w:rPr>
          <w:b/>
          <w:i/>
        </w:rPr>
        <w:t>í</w:t>
      </w:r>
      <w:r w:rsidRPr="0034609B">
        <w:rPr>
          <w:b/>
          <w:i/>
        </w:rPr>
        <w:t>na C</w:t>
      </w:r>
    </w:p>
    <w:p w:rsidR="0034609B" w:rsidRDefault="0034609B" w:rsidP="00FD73EA">
      <w:pPr>
        <w:ind w:firstLine="708"/>
        <w:jc w:val="both"/>
      </w:pPr>
    </w:p>
    <w:p w:rsidR="003B50E6" w:rsidRDefault="003B50E6" w:rsidP="00FD73EA">
      <w:pPr>
        <w:ind w:firstLine="708"/>
        <w:jc w:val="both"/>
      </w:pPr>
      <w:r>
        <w:t>Durante este curso, as mudanças isquêmicas continuaram evoluindo</w:t>
      </w:r>
      <w:r w:rsidR="00FD73EA">
        <w:t xml:space="preserve"> </w:t>
      </w:r>
      <w:r w:rsidR="00477A6B">
        <w:t xml:space="preserve">na </w:t>
      </w:r>
      <w:r>
        <w:t>perna esquerda, caracterizada por bolhas e necrose do tornozelo</w:t>
      </w:r>
      <w:r w:rsidR="00FD73EA">
        <w:t xml:space="preserve"> </w:t>
      </w:r>
      <w:r>
        <w:t>distalmente (</w:t>
      </w:r>
      <w:r w:rsidR="00477A6B" w:rsidRPr="00477A6B">
        <w:rPr>
          <w:color w:val="0033CC"/>
        </w:rPr>
        <w:t>Figura 2</w:t>
      </w:r>
      <w:r>
        <w:t>). A isquemia da perna direita melhorou com apenas resíduos</w:t>
      </w:r>
      <w:r w:rsidR="00FD73EA">
        <w:t xml:space="preserve"> </w:t>
      </w:r>
      <w:r w:rsidR="00477A6B">
        <w:t xml:space="preserve">de </w:t>
      </w:r>
      <w:r>
        <w:t>equimose isolada na ponta do dedão do pé. O paciente foi submetido</w:t>
      </w:r>
      <w:r w:rsidR="00FD73EA">
        <w:t xml:space="preserve"> </w:t>
      </w:r>
      <w:r w:rsidR="00477A6B">
        <w:t xml:space="preserve">à </w:t>
      </w:r>
      <w:r>
        <w:t xml:space="preserve">amputação esquerda abaixo do joelho com desarticulação do tornozelo </w:t>
      </w:r>
      <w:r w:rsidR="00477A6B">
        <w:t>no dia 20 de vida</w:t>
      </w:r>
      <w:r>
        <w:t>. Antes da alta hospitalar, o teste genético do PROC retornou negativo</w:t>
      </w:r>
      <w:r w:rsidR="00FD73EA">
        <w:t xml:space="preserve"> </w:t>
      </w:r>
      <w:r>
        <w:t xml:space="preserve">por deficiência de PC. Ceprotin foi </w:t>
      </w:r>
      <w:r w:rsidR="007447B2">
        <w:t>diminuído</w:t>
      </w:r>
      <w:r>
        <w:t xml:space="preserve"> lentamente e os níveis de PC</w:t>
      </w:r>
      <w:r w:rsidR="00FD73EA">
        <w:t xml:space="preserve"> </w:t>
      </w:r>
      <w:r>
        <w:t>permanec</w:t>
      </w:r>
      <w:r w:rsidR="00477A6B">
        <w:t>eram</w:t>
      </w:r>
      <w:r>
        <w:t xml:space="preserve"> adequado</w:t>
      </w:r>
      <w:r w:rsidR="00477A6B">
        <w:t>s</w:t>
      </w:r>
      <w:r>
        <w:t xml:space="preserve"> (&gt; 60%) fora da terapia. Ele recebeu alta para casa</w:t>
      </w:r>
      <w:r w:rsidR="00FD73EA">
        <w:t xml:space="preserve"> </w:t>
      </w:r>
      <w:r>
        <w:t xml:space="preserve">pelo </w:t>
      </w:r>
      <w:r w:rsidR="00477A6B">
        <w:t>no dia 47 de vida</w:t>
      </w:r>
      <w:r>
        <w:t xml:space="preserve"> e completou um curso de 3 meses em ambulatório de enoxaparina.</w:t>
      </w:r>
      <w:r w:rsidR="00FD73EA">
        <w:t xml:space="preserve"> </w:t>
      </w:r>
      <w:r>
        <w:t xml:space="preserve">Atualmente, o paciente está sendo avaliado </w:t>
      </w:r>
      <w:r w:rsidR="00477A6B">
        <w:t>pela terapia física</w:t>
      </w:r>
      <w:r w:rsidR="007447B2">
        <w:t xml:space="preserve"> </w:t>
      </w:r>
      <w:r>
        <w:t>para prótese de perna esquerda.</w:t>
      </w:r>
    </w:p>
    <w:p w:rsidR="003B50E6" w:rsidRDefault="003B50E6" w:rsidP="00FD73EA">
      <w:pPr>
        <w:jc w:val="both"/>
      </w:pPr>
    </w:p>
    <w:p w:rsidR="00B31B06" w:rsidRDefault="00B31B06" w:rsidP="00FD73EA">
      <w:pPr>
        <w:jc w:val="both"/>
      </w:pPr>
    </w:p>
    <w:p w:rsidR="00B31B06" w:rsidRDefault="009D264A" w:rsidP="00FD73EA">
      <w:pPr>
        <w:jc w:val="both"/>
      </w:pPr>
      <w:r>
        <w:rPr>
          <w:noProof/>
          <w:lang w:eastAsia="pt-BR"/>
        </w:rPr>
        <w:drawing>
          <wp:inline distT="0" distB="0" distL="0" distR="0">
            <wp:extent cx="5403850" cy="2413000"/>
            <wp:effectExtent l="19050" t="19050" r="25400" b="25400"/>
            <wp:docPr id="22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0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3850" cy="2413000"/>
                    </a:xfrm>
                    <a:prstGeom prst="rect">
                      <a:avLst/>
                    </a:prstGeom>
                    <a:noFill/>
                    <a:ln w="19050" cmpd="sng">
                      <a:solidFill>
                        <a:srgbClr val="0070C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34609B" w:rsidRDefault="0034609B" w:rsidP="0034609B">
      <w:pPr>
        <w:jc w:val="center"/>
        <w:rPr>
          <w:b/>
          <w:i/>
        </w:rPr>
      </w:pPr>
    </w:p>
    <w:p w:rsidR="0034609B" w:rsidRDefault="0034609B" w:rsidP="0034609B">
      <w:pPr>
        <w:jc w:val="center"/>
        <w:rPr>
          <w:b/>
          <w:i/>
        </w:rPr>
      </w:pPr>
    </w:p>
    <w:p w:rsidR="00B31B06" w:rsidRPr="0034609B" w:rsidRDefault="0034609B" w:rsidP="0034609B">
      <w:pPr>
        <w:jc w:val="center"/>
        <w:rPr>
          <w:b/>
          <w:i/>
        </w:rPr>
      </w:pPr>
      <w:r w:rsidRPr="0034609B">
        <w:rPr>
          <w:b/>
          <w:i/>
        </w:rPr>
        <w:t>Figura 2. Evolução da púrpura fulminans na perna esquerda no dia 20 de vida. A: extensiva isquemia com necrose hemorrágica. B; extensão do infarto cutâneo envolvendo  a perna esquerda</w:t>
      </w:r>
    </w:p>
    <w:p w:rsidR="00B31B06" w:rsidRDefault="00B31B06" w:rsidP="00FD73EA">
      <w:pPr>
        <w:jc w:val="both"/>
      </w:pPr>
    </w:p>
    <w:p w:rsidR="0034609B" w:rsidRDefault="0034609B" w:rsidP="003B50E6">
      <w:pPr>
        <w:rPr>
          <w:b/>
          <w:color w:val="FF0000"/>
        </w:rPr>
      </w:pPr>
    </w:p>
    <w:p w:rsidR="0034609B" w:rsidRDefault="0034609B" w:rsidP="003B50E6">
      <w:pPr>
        <w:rPr>
          <w:b/>
          <w:color w:val="FF0000"/>
        </w:rPr>
      </w:pPr>
    </w:p>
    <w:p w:rsidR="003B50E6" w:rsidRPr="007447B2" w:rsidRDefault="003B50E6" w:rsidP="003B50E6">
      <w:pPr>
        <w:rPr>
          <w:b/>
          <w:color w:val="FF0000"/>
        </w:rPr>
      </w:pPr>
      <w:r w:rsidRPr="007447B2">
        <w:rPr>
          <w:b/>
          <w:color w:val="FF0000"/>
        </w:rPr>
        <w:t>DISCUSSÃO</w:t>
      </w:r>
    </w:p>
    <w:p w:rsidR="00FD73EA" w:rsidRDefault="00FD73EA" w:rsidP="003B50E6"/>
    <w:p w:rsidR="00C4112C" w:rsidRDefault="00D94C0E" w:rsidP="00FD73EA">
      <w:pPr>
        <w:ind w:firstLine="708"/>
        <w:jc w:val="both"/>
      </w:pPr>
      <w:r>
        <w:t>Uma d</w:t>
      </w:r>
      <w:r w:rsidR="003B50E6">
        <w:t>oença autossômica recessiva, diagnóstico de doença congênita</w:t>
      </w:r>
      <w:r w:rsidR="00FD73EA">
        <w:t xml:space="preserve"> </w:t>
      </w:r>
      <w:r w:rsidR="003B50E6">
        <w:t>(também conhecido como homozigoto)</w:t>
      </w:r>
      <w:r>
        <w:t>,</w:t>
      </w:r>
      <w:r w:rsidR="003B50E6">
        <w:t xml:space="preserve"> </w:t>
      </w:r>
      <w:r>
        <w:t>a d</w:t>
      </w:r>
      <w:r w:rsidR="003B50E6">
        <w:t>eficiência d</w:t>
      </w:r>
      <w:r w:rsidR="0034609B">
        <w:t>a</w:t>
      </w:r>
      <w:r w:rsidR="003B50E6">
        <w:t xml:space="preserve"> PC ou </w:t>
      </w:r>
      <w:r w:rsidR="00C4112C">
        <w:t>P</w:t>
      </w:r>
      <w:r w:rsidR="00FD73EA">
        <w:t xml:space="preserve">S </w:t>
      </w:r>
      <w:r w:rsidR="003B50E6">
        <w:t xml:space="preserve">requer </w:t>
      </w:r>
      <w:r w:rsidR="0034609B">
        <w:t>o diagnóstico</w:t>
      </w:r>
      <w:r w:rsidR="003B50E6">
        <w:t>, níveis indetectáveis de PC ou</w:t>
      </w:r>
      <w:r w:rsidR="00FD73EA">
        <w:t xml:space="preserve"> </w:t>
      </w:r>
      <w:r w:rsidR="003B50E6">
        <w:t>PS ou um estado heterozigótico nos pais. Se ambos os pais exibem</w:t>
      </w:r>
      <w:r w:rsidR="00FD73EA">
        <w:t xml:space="preserve"> </w:t>
      </w:r>
      <w:r w:rsidR="003B50E6">
        <w:t>redução parcial dos níveis de PC ou PS, isso é altamente sugestivo</w:t>
      </w:r>
      <w:r w:rsidR="00FD73EA">
        <w:t xml:space="preserve"> </w:t>
      </w:r>
      <w:r w:rsidR="003B50E6">
        <w:t>de</w:t>
      </w:r>
      <w:r w:rsidR="00C4112C">
        <w:t xml:space="preserve"> que</w:t>
      </w:r>
      <w:r w:rsidR="00C4112C">
        <w:tab/>
      </w:r>
      <w:r w:rsidR="003B50E6">
        <w:t xml:space="preserve"> ambos os pais serem portadores heterozigotos. </w:t>
      </w:r>
    </w:p>
    <w:p w:rsidR="00062F74" w:rsidRDefault="003B50E6" w:rsidP="00062F74">
      <w:pPr>
        <w:ind w:firstLine="708"/>
        <w:jc w:val="both"/>
      </w:pPr>
      <w:r>
        <w:t>Para diagnóstico</w:t>
      </w:r>
      <w:r w:rsidR="00C4112C">
        <w:t xml:space="preserve"> definitivo</w:t>
      </w:r>
      <w:r>
        <w:t>, o teste genético deve revelar um homozigoto ou</w:t>
      </w:r>
      <w:r w:rsidR="00FD73EA">
        <w:t xml:space="preserve"> </w:t>
      </w:r>
      <w:r>
        <w:t>mutação do gene PROC heterozigótico composto, que é</w:t>
      </w:r>
      <w:r w:rsidR="00FD73EA">
        <w:t xml:space="preserve"> </w:t>
      </w:r>
      <w:r>
        <w:t xml:space="preserve">previsto ocorrer em 1 </w:t>
      </w:r>
      <w:r w:rsidR="00FD73EA">
        <w:t xml:space="preserve"> </w:t>
      </w:r>
      <w:r>
        <w:t>em 40.000 a 250.000 pessoas.</w:t>
      </w:r>
      <w:r w:rsidRPr="00C4112C">
        <w:rPr>
          <w:vertAlign w:val="superscript"/>
        </w:rPr>
        <w:t>6</w:t>
      </w:r>
      <w:r>
        <w:t xml:space="preserve"> A baixa</w:t>
      </w:r>
      <w:r w:rsidR="00FD73EA">
        <w:t xml:space="preserve"> </w:t>
      </w:r>
      <w:r>
        <w:t>prevalência de doença sugere alta perda fetal e perinatal</w:t>
      </w:r>
      <w:r w:rsidR="00FD73EA">
        <w:t xml:space="preserve"> </w:t>
      </w:r>
      <w:r>
        <w:t>mortalidade.</w:t>
      </w:r>
      <w:r w:rsidRPr="00062F74">
        <w:rPr>
          <w:vertAlign w:val="superscript"/>
        </w:rPr>
        <w:t>2</w:t>
      </w:r>
      <w:r>
        <w:t xml:space="preserve"> No nosso caso, enquanto a apresentação do paciente com</w:t>
      </w:r>
      <w:r w:rsidR="00FD73EA">
        <w:t xml:space="preserve"> </w:t>
      </w:r>
      <w:r>
        <w:t xml:space="preserve">PF de início precoce e baixos níveis de PC sugeriam </w:t>
      </w:r>
      <w:r w:rsidR="00062F74">
        <w:t xml:space="preserve">deficiência </w:t>
      </w:r>
      <w:r>
        <w:t>congênita</w:t>
      </w:r>
      <w:r w:rsidR="00FD73EA">
        <w:t xml:space="preserve"> </w:t>
      </w:r>
      <w:r>
        <w:t>d</w:t>
      </w:r>
      <w:r w:rsidR="0034609B">
        <w:t>a</w:t>
      </w:r>
      <w:r>
        <w:t xml:space="preserve"> PC, ambos os pais foram testados e mostraram</w:t>
      </w:r>
      <w:r w:rsidR="00FD73EA">
        <w:t xml:space="preserve"> </w:t>
      </w:r>
      <w:r w:rsidR="00062F74">
        <w:t>terem</w:t>
      </w:r>
      <w:r>
        <w:t xml:space="preserve"> níveis normais d</w:t>
      </w:r>
      <w:r w:rsidR="0034609B">
        <w:t>a</w:t>
      </w:r>
      <w:r>
        <w:t>e PC, indicando que improváve</w:t>
      </w:r>
      <w:r w:rsidR="00062F74">
        <w:t>is</w:t>
      </w:r>
      <w:r>
        <w:t xml:space="preserve"> portadores heterozigotos. Eventualmente, resultados normais para </w:t>
      </w:r>
      <w:r w:rsidR="00062F74">
        <w:t xml:space="preserve">sequenciamento  genético </w:t>
      </w:r>
      <w:r>
        <w:t>do gene PROC confirmou nossas suspeitas de que ele</w:t>
      </w:r>
      <w:r w:rsidR="00FD73EA">
        <w:t xml:space="preserve"> </w:t>
      </w:r>
      <w:r>
        <w:t xml:space="preserve">não apresentava deficiência congênita de PC, embora </w:t>
      </w:r>
      <w:r w:rsidR="00062F74">
        <w:t>permanecesse</w:t>
      </w:r>
      <w:r>
        <w:t xml:space="preserve"> a possibilidade de que mutações em regiões fora </w:t>
      </w:r>
      <w:r w:rsidR="00062F74">
        <w:t>do</w:t>
      </w:r>
      <w:r>
        <w:t xml:space="preserve"> gene PROC pode</w:t>
      </w:r>
      <w:r w:rsidR="00062F74">
        <w:t>m</w:t>
      </w:r>
      <w:r>
        <w:t xml:space="preserve"> afetar os níveis de PC. </w:t>
      </w:r>
      <w:r w:rsidR="00062F74">
        <w:t>A explicação mais provável</w:t>
      </w:r>
      <w:r w:rsidR="007447B2">
        <w:t xml:space="preserve"> </w:t>
      </w:r>
      <w:r>
        <w:t>mais provável</w:t>
      </w:r>
      <w:r w:rsidR="00FD73EA">
        <w:t xml:space="preserve"> </w:t>
      </w:r>
      <w:r>
        <w:t xml:space="preserve">para o nosso paciente é que ele desenvolveu </w:t>
      </w:r>
      <w:r w:rsidR="00062F74">
        <w:t>deficiência</w:t>
      </w:r>
      <w:r w:rsidR="007447B2">
        <w:t xml:space="preserve"> </w:t>
      </w:r>
      <w:r w:rsidR="00062F74">
        <w:t xml:space="preserve">da </w:t>
      </w:r>
      <w:r>
        <w:t>PC adquirid</w:t>
      </w:r>
      <w:r w:rsidR="00062F74">
        <w:t>a</w:t>
      </w:r>
      <w:r w:rsidR="00FD73EA">
        <w:t xml:space="preserve"> </w:t>
      </w:r>
      <w:r>
        <w:t>secundária a</w:t>
      </w:r>
      <w:r w:rsidR="007447B2">
        <w:t xml:space="preserve"> </w:t>
      </w:r>
      <w:r w:rsidR="00062F74">
        <w:t xml:space="preserve">sepse de início precoce com cultura negativa. </w:t>
      </w:r>
    </w:p>
    <w:p w:rsidR="003B50E6" w:rsidRDefault="003B50E6" w:rsidP="00062F74">
      <w:pPr>
        <w:ind w:firstLine="708"/>
        <w:jc w:val="both"/>
      </w:pPr>
      <w:r>
        <w:t>Enzimas normais da função hepática em nosso paciente</w:t>
      </w:r>
      <w:r w:rsidR="007447B2">
        <w:t xml:space="preserve"> </w:t>
      </w:r>
      <w:r w:rsidR="00062F74">
        <w:t xml:space="preserve">torna improvável </w:t>
      </w:r>
      <w:r>
        <w:t>disfunção hepática causando diminuição da síntese d</w:t>
      </w:r>
      <w:r w:rsidR="00062F74">
        <w:t>os fatores de coagulação</w:t>
      </w:r>
      <w:r>
        <w:t>. A deficiência do nosso paciente provou</w:t>
      </w:r>
      <w:r w:rsidR="00FD73EA">
        <w:t xml:space="preserve"> </w:t>
      </w:r>
      <w:r>
        <w:t>ser transitório quando os níveis d</w:t>
      </w:r>
      <w:r w:rsidR="0034609B">
        <w:t>a</w:t>
      </w:r>
      <w:r>
        <w:t xml:space="preserve"> PC normalizaram </w:t>
      </w:r>
      <w:r w:rsidR="00062F74">
        <w:t>com a terapia de</w:t>
      </w:r>
      <w:r w:rsidR="007447B2">
        <w:t xml:space="preserve"> </w:t>
      </w:r>
      <w:r>
        <w:t>substituição d</w:t>
      </w:r>
      <w:r w:rsidR="00062F74">
        <w:t>a</w:t>
      </w:r>
      <w:r>
        <w:t xml:space="preserve"> PC. </w:t>
      </w:r>
      <w:r w:rsidR="007447B2">
        <w:t>Outras etiologias da deficiência adquirida da PC podem ser devidas a aumento do consumo (por exemplo, trombose venosa aguda, anticorpos antifosfolípides, circulação extracorpórea) ou diminuição da síntese (por exemplo, disfunção hepática grave, galactosemia, doença congênita grave doença cardíaca, terapia com warfarina).</w:t>
      </w:r>
      <w:r w:rsidR="007447B2" w:rsidRPr="00062F74">
        <w:rPr>
          <w:vertAlign w:val="superscript"/>
        </w:rPr>
        <w:t>2</w:t>
      </w:r>
    </w:p>
    <w:p w:rsidR="003B50E6" w:rsidRDefault="003B50E6" w:rsidP="00FD73EA">
      <w:pPr>
        <w:ind w:firstLine="708"/>
        <w:jc w:val="both"/>
      </w:pPr>
      <w:r w:rsidRPr="005868BD">
        <w:rPr>
          <w:color w:val="000000" w:themeColor="text1"/>
        </w:rPr>
        <w:t>Já foi bem descrito na</w:t>
      </w:r>
      <w:r>
        <w:t xml:space="preserve"> literatura que a sepse</w:t>
      </w:r>
      <w:r w:rsidR="00FD73EA">
        <w:t xml:space="preserve"> </w:t>
      </w:r>
      <w:r>
        <w:t>e disfunção hepática podem desencadear procoagulantes e promover</w:t>
      </w:r>
      <w:r w:rsidR="00FD73EA">
        <w:t xml:space="preserve"> </w:t>
      </w:r>
      <w:r>
        <w:t>lesão endotelial levando ao consumo de</w:t>
      </w:r>
      <w:r w:rsidR="005868BD">
        <w:t xml:space="preserve"> fatores de</w:t>
      </w:r>
      <w:r w:rsidR="007447B2">
        <w:t xml:space="preserve"> </w:t>
      </w:r>
      <w:r>
        <w:t>coagulação, síntese prejudicada ou ambos.</w:t>
      </w:r>
      <w:r w:rsidRPr="005868BD">
        <w:rPr>
          <w:vertAlign w:val="superscript"/>
        </w:rPr>
        <w:t>7–9</w:t>
      </w:r>
      <w:r>
        <w:t xml:space="preserve"> Além disso, </w:t>
      </w:r>
      <w:r w:rsidR="005868BD">
        <w:t>os</w:t>
      </w:r>
      <w:r w:rsidR="00FD73EA">
        <w:t xml:space="preserve"> </w:t>
      </w:r>
      <w:r w:rsidR="005868BD">
        <w:t>recém-nascidos tem</w:t>
      </w:r>
      <w:r>
        <w:t xml:space="preserve"> características fisiologicamente imaturas</w:t>
      </w:r>
      <w:r w:rsidR="00FD73EA">
        <w:t xml:space="preserve"> </w:t>
      </w:r>
      <w:r w:rsidR="005868BD">
        <w:t xml:space="preserve">das </w:t>
      </w:r>
      <w:r>
        <w:t>vias de coagulação e baixa atividade</w:t>
      </w:r>
      <w:r w:rsidR="00FD73EA">
        <w:t xml:space="preserve"> </w:t>
      </w:r>
      <w:r>
        <w:t>plasmática d</w:t>
      </w:r>
      <w:r w:rsidR="0034609B">
        <w:t>a</w:t>
      </w:r>
      <w:r>
        <w:t xml:space="preserve"> PC e</w:t>
      </w:r>
      <w:r w:rsidR="00FD73EA">
        <w:t xml:space="preserve"> </w:t>
      </w:r>
      <w:r>
        <w:t xml:space="preserve">antígeno até </w:t>
      </w:r>
      <w:r w:rsidR="005868BD">
        <w:t>a</w:t>
      </w:r>
      <w:r>
        <w:t>os 6 meses de idade.</w:t>
      </w:r>
      <w:r w:rsidRPr="005868BD">
        <w:rPr>
          <w:vertAlign w:val="superscript"/>
        </w:rPr>
        <w:t>6,8,10</w:t>
      </w:r>
      <w:r>
        <w:t xml:space="preserve"> Dadas essas condições,</w:t>
      </w:r>
      <w:r w:rsidR="00FD73EA">
        <w:t xml:space="preserve"> </w:t>
      </w:r>
      <w:r>
        <w:t xml:space="preserve">um nível indetectável de PC ou PS pode não oferecer uma definição </w:t>
      </w:r>
      <w:r w:rsidR="005868BD">
        <w:t xml:space="preserve">diagnóstica </w:t>
      </w:r>
      <w:r>
        <w:t>definitiva</w:t>
      </w:r>
      <w:r w:rsidR="00FD73EA">
        <w:t xml:space="preserve"> </w:t>
      </w:r>
      <w:r>
        <w:t>e justificação de testes genéticos. Crianças com graves</w:t>
      </w:r>
      <w:r w:rsidR="00FD73EA">
        <w:t xml:space="preserve"> </w:t>
      </w:r>
      <w:r>
        <w:t>deficiência</w:t>
      </w:r>
      <w:r w:rsidR="005868BD">
        <w:t>s</w:t>
      </w:r>
      <w:r>
        <w:t xml:space="preserve"> hereditária</w:t>
      </w:r>
      <w:r w:rsidR="005868BD">
        <w:t>s</w:t>
      </w:r>
      <w:r>
        <w:t xml:space="preserve"> d</w:t>
      </w:r>
      <w:r w:rsidR="0034609B">
        <w:t>a</w:t>
      </w:r>
      <w:r>
        <w:t xml:space="preserve"> PC tem um risco ao longo da vida de PF e, portanto,</w:t>
      </w:r>
      <w:r w:rsidR="00FD73EA">
        <w:t xml:space="preserve"> </w:t>
      </w:r>
      <w:r>
        <w:t>requerem terapia antitrombótica a longo prazo com substituição d</w:t>
      </w:r>
      <w:r w:rsidR="0034609B">
        <w:t>a</w:t>
      </w:r>
      <w:r>
        <w:t xml:space="preserve"> PC</w:t>
      </w:r>
      <w:r w:rsidR="00FD73EA">
        <w:t xml:space="preserve"> </w:t>
      </w:r>
      <w:r>
        <w:t>e / ou anticoagulantes. Ofertas de transplante de fígado</w:t>
      </w:r>
      <w:r w:rsidR="00FD73EA">
        <w:t xml:space="preserve"> </w:t>
      </w:r>
      <w:r>
        <w:t xml:space="preserve">cura a longo prazo, restaurando os níveis de PC, mas compromete </w:t>
      </w:r>
      <w:r w:rsidR="005868BD">
        <w:t>os</w:t>
      </w:r>
      <w:r w:rsidR="00FD73EA">
        <w:t xml:space="preserve"> </w:t>
      </w:r>
      <w:r>
        <w:t>pacientes à terapia imunossupressora e confere o risco</w:t>
      </w:r>
      <w:r w:rsidR="00FD73EA">
        <w:t xml:space="preserve"> </w:t>
      </w:r>
      <w:r w:rsidR="005868BD">
        <w:t xml:space="preserve">de </w:t>
      </w:r>
      <w:r>
        <w:t xml:space="preserve">formação de autoanticorpos </w:t>
      </w:r>
      <w:r w:rsidR="005868BD">
        <w:t xml:space="preserve">estranhos </w:t>
      </w:r>
      <w:r>
        <w:t>contra PC.</w:t>
      </w:r>
      <w:r w:rsidRPr="005868BD">
        <w:rPr>
          <w:vertAlign w:val="superscript"/>
        </w:rPr>
        <w:t>4</w:t>
      </w:r>
      <w:r w:rsidR="00FD73EA">
        <w:t xml:space="preserve"> </w:t>
      </w:r>
      <w:r>
        <w:t>Além disso, pais de crianças com deficiência hereditária d</w:t>
      </w:r>
      <w:r w:rsidR="0034609B">
        <w:t>a</w:t>
      </w:r>
      <w:r>
        <w:t xml:space="preserve"> PC</w:t>
      </w:r>
      <w:r w:rsidR="00FD73EA">
        <w:t xml:space="preserve"> </w:t>
      </w:r>
      <w:r>
        <w:t>precisa</w:t>
      </w:r>
      <w:r w:rsidR="005868BD">
        <w:t>riam</w:t>
      </w:r>
      <w:r w:rsidR="00FD73EA">
        <w:t xml:space="preserve"> </w:t>
      </w:r>
      <w:r>
        <w:t>de aconselhamento genético adicional caso planejassem</w:t>
      </w:r>
      <w:r w:rsidR="00FD73EA">
        <w:t xml:space="preserve"> </w:t>
      </w:r>
      <w:r>
        <w:t>em ter futuros filhos. O diagnóstico pré-natal está disponível via</w:t>
      </w:r>
      <w:r w:rsidR="00FD73EA">
        <w:t xml:space="preserve"> </w:t>
      </w:r>
      <w:r>
        <w:t>amostragem de vilosidades coriônicas para testes genéticos, permitindo</w:t>
      </w:r>
      <w:r w:rsidR="00FD73EA">
        <w:t xml:space="preserve"> </w:t>
      </w:r>
      <w:r>
        <w:t>início precoce da terapia de reposição e melhoria</w:t>
      </w:r>
      <w:r w:rsidR="005868BD">
        <w:t xml:space="preserve"> a </w:t>
      </w:r>
      <w:r>
        <w:t>morbimortalidade para o recém-nascido.</w:t>
      </w:r>
      <w:r w:rsidRPr="005868BD">
        <w:rPr>
          <w:vertAlign w:val="superscript"/>
        </w:rPr>
        <w:t>1</w:t>
      </w:r>
    </w:p>
    <w:p w:rsidR="00AB347B" w:rsidRDefault="003B50E6" w:rsidP="00FD73EA">
      <w:pPr>
        <w:ind w:firstLine="708"/>
        <w:jc w:val="both"/>
      </w:pPr>
      <w:r w:rsidRPr="00AB347B">
        <w:t>PF no cenário de estreptococos do grupo B e</w:t>
      </w:r>
      <w:r w:rsidR="00FD73EA" w:rsidRPr="00AB347B">
        <w:t xml:space="preserve"> </w:t>
      </w:r>
      <w:r w:rsidRPr="00AB347B">
        <w:t xml:space="preserve">sepse </w:t>
      </w:r>
      <w:r w:rsidR="00AB347B" w:rsidRPr="00AB347B">
        <w:t xml:space="preserve">por gram </w:t>
      </w:r>
      <w:r w:rsidRPr="00AB347B">
        <w:t>negativ</w:t>
      </w:r>
      <w:r w:rsidR="00AB347B" w:rsidRPr="00AB347B">
        <w:t>o</w:t>
      </w:r>
      <w:r w:rsidRPr="00AB347B">
        <w:t xml:space="preserve"> foi relatada em neonatos, enquanto </w:t>
      </w:r>
      <w:r w:rsidRPr="00AB347B">
        <w:rPr>
          <w:i/>
        </w:rPr>
        <w:t>Neisseria</w:t>
      </w:r>
      <w:r w:rsidR="00FD73EA" w:rsidRPr="00AB347B">
        <w:rPr>
          <w:i/>
        </w:rPr>
        <w:t xml:space="preserve"> </w:t>
      </w:r>
      <w:r w:rsidRPr="00AB347B">
        <w:rPr>
          <w:i/>
        </w:rPr>
        <w:t>meningites</w:t>
      </w:r>
      <w:r>
        <w:t xml:space="preserve"> e varicela foram </w:t>
      </w:r>
      <w:r w:rsidR="00AB347B">
        <w:t>a</w:t>
      </w:r>
      <w:r>
        <w:t xml:space="preserve">s </w:t>
      </w:r>
      <w:r w:rsidR="00AB347B">
        <w:t>responsáveis</w:t>
      </w:r>
      <w:r>
        <w:t xml:space="preserve"> n</w:t>
      </w:r>
      <w:r w:rsidR="00AB347B">
        <w:t>a</w:t>
      </w:r>
      <w:r w:rsidR="007447B2">
        <w:t xml:space="preserve"> </w:t>
      </w:r>
      <w:r>
        <w:t xml:space="preserve">população pediátrica mais </w:t>
      </w:r>
      <w:r w:rsidR="00BB12AD">
        <w:t xml:space="preserve">velha. </w:t>
      </w:r>
      <w:r w:rsidRPr="00AB347B">
        <w:rPr>
          <w:vertAlign w:val="superscript"/>
        </w:rPr>
        <w:t>11–14</w:t>
      </w:r>
      <w:r>
        <w:t xml:space="preserve"> Estudos limitados foram</w:t>
      </w:r>
      <w:r w:rsidR="00FD73EA">
        <w:t xml:space="preserve"> </w:t>
      </w:r>
      <w:r w:rsidR="007447B2">
        <w:t>conduzidos</w:t>
      </w:r>
      <w:r>
        <w:t xml:space="preserve"> no uso de concentrado d</w:t>
      </w:r>
      <w:r w:rsidR="0034609B">
        <w:t>a</w:t>
      </w:r>
      <w:r>
        <w:t xml:space="preserve"> PC em PF adquirid</w:t>
      </w:r>
      <w:r w:rsidR="00AB347B">
        <w:t>a</w:t>
      </w:r>
      <w:r w:rsidR="00FD73EA">
        <w:t xml:space="preserve"> </w:t>
      </w:r>
      <w:r>
        <w:t>relacionada à sepse. Um estudo retrospectivo sobre a segurança da terapia</w:t>
      </w:r>
      <w:r w:rsidR="00AB347B">
        <w:t xml:space="preserve"> de reposição</w:t>
      </w:r>
      <w:r w:rsidR="007447B2">
        <w:t xml:space="preserve"> </w:t>
      </w:r>
      <w:r w:rsidR="00AB347B">
        <w:t xml:space="preserve">com a PC </w:t>
      </w:r>
      <w:r>
        <w:t xml:space="preserve">revisou 94 crianças com </w:t>
      </w:r>
      <w:r w:rsidR="00AB347B">
        <w:t>PF</w:t>
      </w:r>
      <w:r>
        <w:t xml:space="preserve"> adquirida</w:t>
      </w:r>
      <w:r w:rsidR="00FD73EA">
        <w:t xml:space="preserve"> </w:t>
      </w:r>
      <w:r>
        <w:lastRenderedPageBreak/>
        <w:t xml:space="preserve">devido </w:t>
      </w:r>
      <w:r w:rsidR="007447B2">
        <w:t>à</w:t>
      </w:r>
      <w:r>
        <w:t xml:space="preserve"> sepse (</w:t>
      </w:r>
      <w:r w:rsidRPr="00AB347B">
        <w:rPr>
          <w:i/>
        </w:rPr>
        <w:t>N. meningitides em 79,8%</w:t>
      </w:r>
      <w:r>
        <w:t>) que foram tratados</w:t>
      </w:r>
      <w:r w:rsidR="00FD73EA">
        <w:t xml:space="preserve"> </w:t>
      </w:r>
      <w:r>
        <w:t>com concentra</w:t>
      </w:r>
      <w:r w:rsidR="00E71BAE">
        <w:t>do de PC não ativado (Ceprotin)</w:t>
      </w:r>
      <w:r>
        <w:t>.</w:t>
      </w:r>
      <w:r w:rsidRPr="00AB347B">
        <w:rPr>
          <w:vertAlign w:val="superscript"/>
        </w:rPr>
        <w:t>15</w:t>
      </w:r>
      <w:r w:rsidR="00FD73EA">
        <w:t xml:space="preserve"> </w:t>
      </w:r>
      <w:r w:rsidR="00AB347B">
        <w:t>E</w:t>
      </w:r>
      <w:r>
        <w:t>ventos</w:t>
      </w:r>
      <w:r w:rsidR="007447B2">
        <w:t xml:space="preserve"> </w:t>
      </w:r>
      <w:r w:rsidR="00AB347B">
        <w:t xml:space="preserve">adversos foram </w:t>
      </w:r>
      <w:r>
        <w:t>limitados ao sangramento do nariz e / ou da garganta,</w:t>
      </w:r>
      <w:r w:rsidR="00FD73EA">
        <w:t xml:space="preserve"> </w:t>
      </w:r>
      <w:r>
        <w:t>derrame pleural e um evento de febre transitória.</w:t>
      </w:r>
      <w:r w:rsidR="00FD73EA">
        <w:t xml:space="preserve"> </w:t>
      </w:r>
      <w:r>
        <w:t>Este estudo é a maior série publicada sobre o uso de concentrado de PC</w:t>
      </w:r>
      <w:r w:rsidR="00FD73EA">
        <w:t xml:space="preserve"> </w:t>
      </w:r>
      <w:r>
        <w:t>n</w:t>
      </w:r>
      <w:r w:rsidR="00AB347B">
        <w:t>a</w:t>
      </w:r>
      <w:r>
        <w:t xml:space="preserve"> PF relacionado à sepse. No entanto, mais da metade dos</w:t>
      </w:r>
      <w:r w:rsidR="00FD73EA">
        <w:t xml:space="preserve"> </w:t>
      </w:r>
      <w:r>
        <w:t>casos tinha mais de 2 anos de idade e os não sobreviventes tinham</w:t>
      </w:r>
      <w:r w:rsidR="00FD73EA">
        <w:t xml:space="preserve"> </w:t>
      </w:r>
      <w:r>
        <w:t>menor atividade d</w:t>
      </w:r>
      <w:r w:rsidR="00AB347B">
        <w:t>a</w:t>
      </w:r>
      <w:r>
        <w:t xml:space="preserve"> PC em comparação com os sobreviventes. </w:t>
      </w:r>
    </w:p>
    <w:p w:rsidR="00256B00" w:rsidRDefault="003B50E6" w:rsidP="00FD73EA">
      <w:pPr>
        <w:ind w:firstLine="708"/>
        <w:jc w:val="both"/>
      </w:pPr>
      <w:r w:rsidRPr="00256B00">
        <w:rPr>
          <w:color w:val="000000" w:themeColor="text1"/>
        </w:rPr>
        <w:t>Em um</w:t>
      </w:r>
      <w:r w:rsidR="00FD73EA" w:rsidRPr="00256B00">
        <w:rPr>
          <w:color w:val="000000" w:themeColor="text1"/>
        </w:rPr>
        <w:t xml:space="preserve"> </w:t>
      </w:r>
      <w:r w:rsidRPr="00256B00">
        <w:rPr>
          <w:color w:val="000000" w:themeColor="text1"/>
        </w:rPr>
        <w:t>série de casos menores</w:t>
      </w:r>
      <w:r>
        <w:t>, quatro prematuros (idade gestacional variou</w:t>
      </w:r>
      <w:r w:rsidR="00FD73EA">
        <w:t xml:space="preserve"> </w:t>
      </w:r>
      <w:r>
        <w:t xml:space="preserve">27 a 34 semanas) com </w:t>
      </w:r>
      <w:r w:rsidR="00AB347B">
        <w:t>PF</w:t>
      </w:r>
      <w:r>
        <w:t xml:space="preserve"> devido </w:t>
      </w:r>
      <w:r w:rsidR="00256B00">
        <w:t>à</w:t>
      </w:r>
      <w:r>
        <w:t xml:space="preserve"> sepse </w:t>
      </w:r>
      <w:r w:rsidR="00256B00">
        <w:t xml:space="preserve">por </w:t>
      </w:r>
      <w:r w:rsidR="00E71BAE">
        <w:t>gram</w:t>
      </w:r>
      <w:r w:rsidR="00BB12AD">
        <w:t xml:space="preserve"> </w:t>
      </w:r>
      <w:r>
        <w:t>negativ</w:t>
      </w:r>
      <w:r w:rsidR="00E71BAE">
        <w:t>o</w:t>
      </w:r>
      <w:r>
        <w:t xml:space="preserve"> de início tardio</w:t>
      </w:r>
      <w:r w:rsidR="00FD73EA">
        <w:t xml:space="preserve"> </w:t>
      </w:r>
      <w:r>
        <w:t>foram tratados com terapia PC não ativada.</w:t>
      </w:r>
      <w:r w:rsidRPr="00256B00">
        <w:rPr>
          <w:vertAlign w:val="superscript"/>
        </w:rPr>
        <w:t>16</w:t>
      </w:r>
      <w:r>
        <w:t xml:space="preserve"> Todos os bebês</w:t>
      </w:r>
      <w:r w:rsidR="00FD73EA">
        <w:t xml:space="preserve"> </w:t>
      </w:r>
      <w:r>
        <w:t>sobrevive</w:t>
      </w:r>
      <w:r w:rsidR="00256B00">
        <w:t>ram</w:t>
      </w:r>
      <w:r>
        <w:t>; 3 dos 4 bebês foram acompanhados em 1 ano e</w:t>
      </w:r>
      <w:r w:rsidR="00FD73EA">
        <w:t xml:space="preserve"> </w:t>
      </w:r>
      <w:r>
        <w:t xml:space="preserve">não havia relatos de mais </w:t>
      </w:r>
      <w:r w:rsidR="00256B00">
        <w:t xml:space="preserve">eventos </w:t>
      </w:r>
      <w:r>
        <w:t xml:space="preserve">tromboembólicos ou sangramentos. </w:t>
      </w:r>
    </w:p>
    <w:p w:rsidR="00256B00" w:rsidRDefault="003B50E6" w:rsidP="00256B00">
      <w:pPr>
        <w:ind w:firstLine="708"/>
        <w:jc w:val="both"/>
      </w:pPr>
      <w:r w:rsidRPr="00256B00">
        <w:rPr>
          <w:color w:val="000000" w:themeColor="text1"/>
        </w:rPr>
        <w:t>Foi realizado um</w:t>
      </w:r>
      <w:r>
        <w:t xml:space="preserve"> ensaio clínico randomizado de fase 2</w:t>
      </w:r>
      <w:r w:rsidR="00FD73EA">
        <w:t xml:space="preserve"> </w:t>
      </w:r>
      <w:r w:rsidR="00256B00">
        <w:t xml:space="preserve">para </w:t>
      </w:r>
      <w:r>
        <w:t>estudar o regime de segurança e dosagem do concentrado de PC em</w:t>
      </w:r>
      <w:r w:rsidR="00FD73EA">
        <w:t xml:space="preserve"> </w:t>
      </w:r>
      <w:r>
        <w:t xml:space="preserve">40 crianças (de 2 a 16 anos de idade) com PF e </w:t>
      </w:r>
      <w:r w:rsidR="00256B00">
        <w:t xml:space="preserve">choque séptico por </w:t>
      </w:r>
      <w:r>
        <w:t>meningococo.</w:t>
      </w:r>
      <w:r w:rsidRPr="00256B00">
        <w:rPr>
          <w:vertAlign w:val="superscript"/>
        </w:rPr>
        <w:t>17</w:t>
      </w:r>
      <w:r>
        <w:t xml:space="preserve"> Doses cumulativas de 50, 100 e</w:t>
      </w:r>
      <w:r w:rsidR="00FD73EA">
        <w:t xml:space="preserve"> </w:t>
      </w:r>
      <w:r>
        <w:t xml:space="preserve">150 UI / kg foram comparados com um grupo placebo. </w:t>
      </w:r>
      <w:r w:rsidR="00256B00">
        <w:t>Foi observado um aumento da PC plasmática</w:t>
      </w:r>
      <w:r w:rsidR="007447B2">
        <w:t xml:space="preserve"> </w:t>
      </w:r>
      <w:r>
        <w:t>dose</w:t>
      </w:r>
      <w:r w:rsidR="00256B00">
        <w:t xml:space="preserve"> </w:t>
      </w:r>
      <w:r>
        <w:t>dependente</w:t>
      </w:r>
      <w:r w:rsidR="00256B00">
        <w:t xml:space="preserve">, </w:t>
      </w:r>
      <w:r>
        <w:t>embora</w:t>
      </w:r>
      <w:r w:rsidR="00256B00">
        <w:t xml:space="preserve"> </w:t>
      </w:r>
      <w:r w:rsidR="007447B2">
        <w:t>houvesse</w:t>
      </w:r>
      <w:r>
        <w:t xml:space="preserve"> um nível sustentado de PC ativado visto no</w:t>
      </w:r>
      <w:r w:rsidR="00FD73EA">
        <w:t xml:space="preserve"> </w:t>
      </w:r>
      <w:r>
        <w:t>grupo com a dose mais alta, os níveis retornaram à linha de base em 6 horas</w:t>
      </w:r>
      <w:r w:rsidR="00FD73EA">
        <w:t xml:space="preserve"> </w:t>
      </w:r>
      <w:r w:rsidR="00256B00">
        <w:t xml:space="preserve">em </w:t>
      </w:r>
      <w:r>
        <w:t xml:space="preserve">todos os grupos Não houve eventos adversos graves relacionados </w:t>
      </w:r>
      <w:r w:rsidR="00256B00">
        <w:t>ao</w:t>
      </w:r>
      <w:r w:rsidR="00FD73EA">
        <w:t xml:space="preserve"> </w:t>
      </w:r>
      <w:r>
        <w:t xml:space="preserve">medicamento </w:t>
      </w:r>
      <w:r w:rsidR="00256B00">
        <w:t>no</w:t>
      </w:r>
      <w:r>
        <w:t xml:space="preserve"> estudo. Houve uma maior taxa de mortalidade n</w:t>
      </w:r>
      <w:r w:rsidR="00256B00">
        <w:t>o grupo de</w:t>
      </w:r>
      <w:r w:rsidR="007447B2">
        <w:t xml:space="preserve"> </w:t>
      </w:r>
      <w:r>
        <w:t>dose mais alta</w:t>
      </w:r>
      <w:r w:rsidR="007447B2">
        <w:t>,</w:t>
      </w:r>
      <w:r>
        <w:t xml:space="preserve"> mas o estudo não teve força suficiente para determinar</w:t>
      </w:r>
      <w:r w:rsidR="00FD73EA">
        <w:t xml:space="preserve"> </w:t>
      </w:r>
      <w:r>
        <w:t xml:space="preserve">resultados de mortalidade. </w:t>
      </w:r>
    </w:p>
    <w:p w:rsidR="003B50E6" w:rsidRDefault="003B50E6" w:rsidP="00256B00">
      <w:pPr>
        <w:ind w:firstLine="708"/>
        <w:jc w:val="both"/>
      </w:pPr>
      <w:r>
        <w:t>Terapia por PC ativada (drotecogin</w:t>
      </w:r>
      <w:r w:rsidR="00FD73EA">
        <w:t xml:space="preserve"> </w:t>
      </w:r>
      <w:r>
        <w:t>alfa ou Xigis) foi previamente aprovado para</w:t>
      </w:r>
      <w:r w:rsidR="00FD73EA">
        <w:t xml:space="preserve"> </w:t>
      </w:r>
      <w:r>
        <w:t>adultos com</w:t>
      </w:r>
      <w:r w:rsidR="00FD73EA">
        <w:t xml:space="preserve"> </w:t>
      </w:r>
      <w:r>
        <w:t xml:space="preserve">sepse, mas foi voluntariamente retirado </w:t>
      </w:r>
      <w:r w:rsidR="00256B00">
        <w:t xml:space="preserve">do mercado </w:t>
      </w:r>
      <w:r>
        <w:t>em todo o mundo em 2011, depois que um estudo revelou falta de eficácia. Seu uso</w:t>
      </w:r>
      <w:r w:rsidR="00FD73EA">
        <w:t xml:space="preserve"> </w:t>
      </w:r>
      <w:r>
        <w:t>para sepse e PF em crianças era controverso, pois era</w:t>
      </w:r>
      <w:r w:rsidR="00FD73EA">
        <w:t xml:space="preserve"> </w:t>
      </w:r>
      <w:r>
        <w:t>associado a um aumento da incidência de sangramento grave.</w:t>
      </w:r>
      <w:r w:rsidRPr="00256B00">
        <w:rPr>
          <w:vertAlign w:val="superscript"/>
        </w:rPr>
        <w:t>18</w:t>
      </w:r>
    </w:p>
    <w:p w:rsidR="00256B00" w:rsidRDefault="007447B2" w:rsidP="00256B00">
      <w:pPr>
        <w:ind w:firstLine="708"/>
        <w:jc w:val="both"/>
      </w:pPr>
      <w:r>
        <w:t>Dado o atraso no tempo de resposta nos resultados genéticos, muitas vezes, informações limitadas estão disponíveis para orientar clínico no tratamento da deficiência da PC.</w:t>
      </w:r>
      <w:r w:rsidR="00771018">
        <w:t xml:space="preserve"> Há apenas </w:t>
      </w:r>
      <w:r>
        <w:t>outro</w:t>
      </w:r>
      <w:r w:rsidR="00771018">
        <w:t xml:space="preserve"> caso publicado de PF em um recém-nascido devido </w:t>
      </w:r>
      <w:r w:rsidR="00256B00">
        <w:t>á deficiência</w:t>
      </w:r>
      <w:r>
        <w:t xml:space="preserve"> </w:t>
      </w:r>
      <w:r w:rsidR="00771018">
        <w:t>transitória</w:t>
      </w:r>
      <w:r w:rsidR="00256B00">
        <w:t xml:space="preserve"> da PC </w:t>
      </w:r>
      <w:r w:rsidR="00771018">
        <w:t>que não levou a morbidades duradouras;</w:t>
      </w:r>
      <w:r w:rsidR="00B11304">
        <w:t xml:space="preserve"> </w:t>
      </w:r>
      <w:r w:rsidR="00771018">
        <w:t>esse caso ocorreu antes do uso do concentrado d</w:t>
      </w:r>
      <w:r w:rsidR="00256B00">
        <w:t>a</w:t>
      </w:r>
      <w:r w:rsidR="00771018">
        <w:t xml:space="preserve"> PC.</w:t>
      </w:r>
      <w:r w:rsidR="00771018" w:rsidRPr="00256B00">
        <w:rPr>
          <w:vertAlign w:val="superscript"/>
        </w:rPr>
        <w:t>19</w:t>
      </w:r>
      <w:r w:rsidR="00B11304">
        <w:t xml:space="preserve"> </w:t>
      </w:r>
      <w:r w:rsidR="00771018">
        <w:t>O caso é único, pois nosso bebê foi tratado com concentrado de PC</w:t>
      </w:r>
      <w:r w:rsidR="00B11304">
        <w:t xml:space="preserve"> </w:t>
      </w:r>
      <w:r w:rsidR="00771018">
        <w:t>devido à gravidade da PF e, no entanto, requerida</w:t>
      </w:r>
      <w:r w:rsidR="00B11304">
        <w:t xml:space="preserve"> </w:t>
      </w:r>
      <w:r w:rsidR="00771018">
        <w:t>amputação da extremidade inferior. Também demonstra a</w:t>
      </w:r>
      <w:r w:rsidR="00B11304">
        <w:t xml:space="preserve"> </w:t>
      </w:r>
      <w:r w:rsidR="00771018">
        <w:t>dificuldade de diagnosticar e tratar a deficiência d</w:t>
      </w:r>
      <w:r w:rsidR="00256B00">
        <w:t>a</w:t>
      </w:r>
      <w:r w:rsidR="00771018">
        <w:t xml:space="preserve"> PC. Em </w:t>
      </w:r>
      <w:r w:rsidR="00BB12AD">
        <w:t xml:space="preserve">Centros </w:t>
      </w:r>
      <w:r w:rsidR="00771018">
        <w:t xml:space="preserve"> onde a genotipagem d</w:t>
      </w:r>
      <w:r w:rsidR="00256B00">
        <w:t>a</w:t>
      </w:r>
      <w:r w:rsidR="00771018">
        <w:t xml:space="preserve"> PC não está disponível, teste</w:t>
      </w:r>
      <w:r w:rsidR="00256B00">
        <w:t xml:space="preserve"> dos níveis da PC</w:t>
      </w:r>
      <w:r w:rsidR="00771018">
        <w:t xml:space="preserve"> </w:t>
      </w:r>
      <w:r w:rsidR="00E71BAE">
        <w:t>n</w:t>
      </w:r>
      <w:r w:rsidR="00771018">
        <w:t>os pais</w:t>
      </w:r>
      <w:r w:rsidR="00256B00">
        <w:t xml:space="preserve"> </w:t>
      </w:r>
      <w:r w:rsidR="00771018">
        <w:t>podem fornecer informações clínicas valiosas para</w:t>
      </w:r>
      <w:r w:rsidR="00B11304">
        <w:t xml:space="preserve"> </w:t>
      </w:r>
      <w:r w:rsidR="00771018">
        <w:t>sugerir o diagnóstico. Mais estudos são necessários para determinar</w:t>
      </w:r>
      <w:r w:rsidR="00B11304">
        <w:t xml:space="preserve"> </w:t>
      </w:r>
      <w:r w:rsidR="00771018">
        <w:t>eficácia, momento ideal de iniciação e objetivo terapêutico</w:t>
      </w:r>
      <w:r w:rsidR="00B11304">
        <w:t xml:space="preserve"> </w:t>
      </w:r>
      <w:r w:rsidR="00771018">
        <w:t xml:space="preserve">terapia com </w:t>
      </w:r>
      <w:r w:rsidR="00256B00">
        <w:t>PC</w:t>
      </w:r>
      <w:r w:rsidR="00771018">
        <w:t xml:space="preserve"> na deficiência adquirida d</w:t>
      </w:r>
      <w:r w:rsidR="00256B00">
        <w:t>a</w:t>
      </w:r>
      <w:r w:rsidR="00771018">
        <w:t xml:space="preserve"> PC em neonatos, </w:t>
      </w:r>
      <w:r w:rsidR="00256B00">
        <w:t xml:space="preserve">dado o </w:t>
      </w:r>
      <w:r w:rsidR="00771018">
        <w:t xml:space="preserve">maior risco de hemorragia intraventricular em comparação com </w:t>
      </w:r>
      <w:r>
        <w:t>a população</w:t>
      </w:r>
      <w:r w:rsidR="00771018">
        <w:t xml:space="preserve"> pediátrica geral. </w:t>
      </w:r>
    </w:p>
    <w:p w:rsidR="003B50E6" w:rsidRDefault="00771018" w:rsidP="00256B00">
      <w:pPr>
        <w:ind w:firstLine="708"/>
        <w:jc w:val="both"/>
      </w:pPr>
      <w:r>
        <w:t>Existe um interesse crescente em</w:t>
      </w:r>
      <w:r w:rsidR="00B11304">
        <w:t xml:space="preserve"> </w:t>
      </w:r>
      <w:r>
        <w:t>encontrar alternativas para administração</w:t>
      </w:r>
      <w:r w:rsidR="007447B2">
        <w:t xml:space="preserve"> </w:t>
      </w:r>
      <w:r w:rsidR="00256B00">
        <w:t>do concentrado d</w:t>
      </w:r>
      <w:r w:rsidR="00BB12AD">
        <w:t>a</w:t>
      </w:r>
      <w:r w:rsidR="00256B00">
        <w:t xml:space="preserve"> PC </w:t>
      </w:r>
      <w:r>
        <w:t>como infusões subcutâneas, mas muito é</w:t>
      </w:r>
      <w:r w:rsidR="00B11304">
        <w:t xml:space="preserve"> </w:t>
      </w:r>
      <w:r>
        <w:t>desconhecido sobre a eficácia terapêutica.</w:t>
      </w:r>
      <w:r w:rsidRPr="00256B00">
        <w:rPr>
          <w:vertAlign w:val="superscript"/>
        </w:rPr>
        <w:t>4,20</w:t>
      </w:r>
    </w:p>
    <w:p w:rsidR="00FA1FB9" w:rsidRPr="007447B2" w:rsidRDefault="00FA1FB9" w:rsidP="00B11304">
      <w:pPr>
        <w:jc w:val="both"/>
        <w:rPr>
          <w:b/>
          <w:color w:val="FF0000"/>
        </w:rPr>
      </w:pPr>
      <w:r>
        <w:rPr>
          <w:b/>
          <w:color w:val="000000" w:themeColor="text1"/>
        </w:rPr>
        <w:t xml:space="preserve">                                                                   </w:t>
      </w:r>
      <w:r w:rsidR="00771018" w:rsidRPr="007447B2">
        <w:rPr>
          <w:b/>
          <w:color w:val="FF0000"/>
        </w:rPr>
        <w:t>Resumo</w:t>
      </w:r>
    </w:p>
    <w:p w:rsidR="00FA1FB9" w:rsidRDefault="00FA1FB9" w:rsidP="00B11304">
      <w:pPr>
        <w:jc w:val="both"/>
        <w:rPr>
          <w:color w:val="000000" w:themeColor="text1"/>
        </w:rPr>
      </w:pPr>
    </w:p>
    <w:p w:rsidR="009952D5" w:rsidRDefault="007447B2" w:rsidP="00B11304">
      <w:pPr>
        <w:jc w:val="both"/>
      </w:pPr>
      <w:r w:rsidRPr="00FA1FB9">
        <w:rPr>
          <w:color w:val="000000" w:themeColor="text1"/>
        </w:rPr>
        <w:t>A púrpura fulmina</w:t>
      </w:r>
      <w:r>
        <w:rPr>
          <w:color w:val="000000" w:themeColor="text1"/>
        </w:rPr>
        <w:t>ns</w:t>
      </w:r>
      <w:r w:rsidRPr="00FA1FB9">
        <w:rPr>
          <w:color w:val="000000" w:themeColor="text1"/>
        </w:rPr>
        <w:t xml:space="preserve"> neonatal é um distúrbio com risco</w:t>
      </w:r>
      <w:r>
        <w:t xml:space="preserve"> de vida causado por deficiências congênitas ou adquiridas da proteína C (PC) ou S (PS).</w:t>
      </w:r>
      <w:r w:rsidR="00771018">
        <w:t xml:space="preserve"> </w:t>
      </w:r>
      <w:r w:rsidR="009952D5">
        <w:t xml:space="preserve">A </w:t>
      </w:r>
      <w:r w:rsidR="00771018">
        <w:t>PF apresenta-se como manifestação cutânea de disseminação</w:t>
      </w:r>
      <w:r w:rsidR="00B11304">
        <w:t xml:space="preserve"> </w:t>
      </w:r>
      <w:r w:rsidR="00771018">
        <w:t>coagulação intravascular. Descrevemos um caso de PF em um recém-nascido</w:t>
      </w:r>
      <w:r w:rsidR="00B11304">
        <w:t xml:space="preserve"> </w:t>
      </w:r>
      <w:r w:rsidR="00771018">
        <w:t>com isquemia da perna esquerda e níveis indetectáveis d</w:t>
      </w:r>
      <w:r w:rsidR="009952D5">
        <w:t>a</w:t>
      </w:r>
      <w:r w:rsidR="00771018">
        <w:t xml:space="preserve"> PC logo após o nascimento.</w:t>
      </w:r>
      <w:r w:rsidR="00B11304">
        <w:t xml:space="preserve"> </w:t>
      </w:r>
      <w:r w:rsidR="00771018">
        <w:t xml:space="preserve">Apesar da terapia de anticoagulação e do concentrado de PC, </w:t>
      </w:r>
      <w:r w:rsidR="009952D5">
        <w:t xml:space="preserve">foi necessária a amputação do </w:t>
      </w:r>
      <w:r w:rsidR="00771018">
        <w:t>pé esquerdo</w:t>
      </w:r>
      <w:r w:rsidR="009952D5">
        <w:t xml:space="preserve">. </w:t>
      </w:r>
      <w:r w:rsidR="00771018">
        <w:t xml:space="preserve">Teste genético de PROC para </w:t>
      </w:r>
      <w:r w:rsidR="009952D5">
        <w:t>a</w:t>
      </w:r>
      <w:r w:rsidR="00771018">
        <w:t xml:space="preserve"> deficiência d</w:t>
      </w:r>
      <w:r w:rsidR="009952D5">
        <w:t>a</w:t>
      </w:r>
      <w:r w:rsidR="00771018">
        <w:t xml:space="preserve"> PC </w:t>
      </w:r>
      <w:r w:rsidR="009952D5">
        <w:t>foi</w:t>
      </w:r>
      <w:r w:rsidR="00771018">
        <w:t xml:space="preserve"> normal.</w:t>
      </w:r>
    </w:p>
    <w:p w:rsidR="00771018" w:rsidRPr="007447B2" w:rsidRDefault="00771018" w:rsidP="009952D5">
      <w:pPr>
        <w:jc w:val="center"/>
        <w:rPr>
          <w:b/>
          <w:color w:val="0033CC"/>
        </w:rPr>
      </w:pPr>
      <w:r w:rsidRPr="007447B2">
        <w:rPr>
          <w:b/>
          <w:color w:val="0033CC"/>
        </w:rPr>
        <w:lastRenderedPageBreak/>
        <w:t xml:space="preserve">Este caso destaca o curso da </w:t>
      </w:r>
      <w:r w:rsidR="00BB12AD">
        <w:rPr>
          <w:b/>
          <w:color w:val="0033CC"/>
        </w:rPr>
        <w:t xml:space="preserve">Púrpura fulminans neonatal </w:t>
      </w:r>
      <w:r w:rsidRPr="007447B2">
        <w:rPr>
          <w:b/>
          <w:color w:val="0033CC"/>
        </w:rPr>
        <w:t xml:space="preserve"> devido a</w:t>
      </w:r>
    </w:p>
    <w:p w:rsidR="00771018" w:rsidRPr="007447B2" w:rsidRDefault="00771018" w:rsidP="009952D5">
      <w:pPr>
        <w:jc w:val="center"/>
        <w:rPr>
          <w:b/>
          <w:color w:val="0033CC"/>
        </w:rPr>
      </w:pPr>
      <w:r w:rsidRPr="007447B2">
        <w:rPr>
          <w:b/>
          <w:color w:val="0033CC"/>
        </w:rPr>
        <w:t>à deficiência adquirida d</w:t>
      </w:r>
      <w:r w:rsidR="009952D5" w:rsidRPr="007447B2">
        <w:rPr>
          <w:b/>
          <w:color w:val="0033CC"/>
        </w:rPr>
        <w:t>a</w:t>
      </w:r>
      <w:r w:rsidRPr="007447B2">
        <w:rPr>
          <w:b/>
          <w:color w:val="0033CC"/>
        </w:rPr>
        <w:t xml:space="preserve"> PC em um recém-nascido tratado com concentrado d</w:t>
      </w:r>
      <w:r w:rsidR="009952D5" w:rsidRPr="007447B2">
        <w:rPr>
          <w:b/>
          <w:color w:val="0033CC"/>
        </w:rPr>
        <w:t>a</w:t>
      </w:r>
      <w:r w:rsidRPr="007447B2">
        <w:rPr>
          <w:b/>
          <w:color w:val="0033CC"/>
        </w:rPr>
        <w:t xml:space="preserve"> PC</w:t>
      </w:r>
      <w:r w:rsidR="009952D5" w:rsidRPr="007447B2">
        <w:rPr>
          <w:b/>
          <w:color w:val="0033CC"/>
        </w:rPr>
        <w:t xml:space="preserve"> </w:t>
      </w:r>
      <w:r w:rsidRPr="007447B2">
        <w:rPr>
          <w:b/>
          <w:color w:val="0033CC"/>
        </w:rPr>
        <w:t>o que é raramente descrito na literatura.</w:t>
      </w:r>
    </w:p>
    <w:p w:rsidR="009952D5" w:rsidRDefault="009952D5" w:rsidP="009952D5">
      <w:pPr>
        <w:jc w:val="center"/>
        <w:rPr>
          <w:b/>
        </w:rPr>
      </w:pPr>
    </w:p>
    <w:p w:rsidR="009952D5" w:rsidRDefault="009952D5" w:rsidP="009952D5">
      <w:pPr>
        <w:jc w:val="center"/>
        <w:rPr>
          <w:b/>
        </w:rPr>
      </w:pPr>
    </w:p>
    <w:p w:rsidR="009952D5" w:rsidRDefault="009D264A" w:rsidP="00735C17">
      <w:r>
        <w:rPr>
          <w:b/>
          <w:noProof/>
          <w:lang w:eastAsia="pt-BR"/>
        </w:rPr>
        <w:drawing>
          <wp:inline distT="0" distB="0" distL="0" distR="0">
            <wp:extent cx="5403850" cy="2743200"/>
            <wp:effectExtent l="19050" t="19050" r="25400" b="19050"/>
            <wp:docPr id="2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3850" cy="2743200"/>
                    </a:xfrm>
                    <a:prstGeom prst="rect">
                      <a:avLst/>
                    </a:prstGeom>
                    <a:noFill/>
                    <a:ln w="19050" cmpd="sng">
                      <a:solidFill>
                        <a:srgbClr val="0070C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9952D5" w:rsidRDefault="009D264A" w:rsidP="009952D5">
      <w:pPr>
        <w:jc w:val="center"/>
        <w:rPr>
          <w:b/>
        </w:rPr>
      </w:pPr>
      <w:r>
        <w:rPr>
          <w:b/>
          <w:noProof/>
          <w:lang w:eastAsia="pt-BR"/>
        </w:rPr>
        <w:lastRenderedPageBreak/>
        <w:drawing>
          <wp:inline distT="0" distB="0" distL="0" distR="0">
            <wp:extent cx="5276850" cy="5562600"/>
            <wp:effectExtent l="19050" t="19050" r="19050" b="19050"/>
            <wp:docPr id="20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4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0" cy="5562600"/>
                    </a:xfrm>
                    <a:prstGeom prst="rect">
                      <a:avLst/>
                    </a:prstGeom>
                    <a:noFill/>
                    <a:ln w="19050" cmpd="sng">
                      <a:solidFill>
                        <a:srgbClr val="0070C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9952D5" w:rsidRDefault="009952D5" w:rsidP="009952D5">
      <w:pPr>
        <w:jc w:val="center"/>
        <w:rPr>
          <w:b/>
        </w:rPr>
      </w:pPr>
    </w:p>
    <w:p w:rsidR="009952D5" w:rsidRDefault="009952D5" w:rsidP="009952D5">
      <w:pPr>
        <w:jc w:val="center"/>
        <w:rPr>
          <w:b/>
        </w:rPr>
      </w:pPr>
    </w:p>
    <w:p w:rsidR="009952D5" w:rsidRPr="009952D5" w:rsidRDefault="009D264A" w:rsidP="009952D5">
      <w:pPr>
        <w:jc w:val="center"/>
        <w:rPr>
          <w:b/>
        </w:rPr>
      </w:pPr>
      <w:r>
        <w:rPr>
          <w:b/>
          <w:noProof/>
          <w:lang w:eastAsia="pt-BR"/>
        </w:rPr>
        <w:lastRenderedPageBreak/>
        <w:drawing>
          <wp:inline distT="0" distB="0" distL="0" distR="0">
            <wp:extent cx="5403850" cy="6242050"/>
            <wp:effectExtent l="19050" t="19050" r="25400" b="25400"/>
            <wp:docPr id="19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7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3850" cy="6242050"/>
                    </a:xfrm>
                    <a:prstGeom prst="rect">
                      <a:avLst/>
                    </a:prstGeom>
                    <a:noFill/>
                    <a:ln w="19050" cmpd="sng">
                      <a:solidFill>
                        <a:srgbClr val="0070C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771018" w:rsidRDefault="00771018" w:rsidP="00B11304">
      <w:pPr>
        <w:jc w:val="both"/>
      </w:pPr>
    </w:p>
    <w:p w:rsidR="00BC0085" w:rsidRPr="00BB12AD" w:rsidRDefault="00BB12AD" w:rsidP="00BB12AD">
      <w:pPr>
        <w:jc w:val="center"/>
        <w:rPr>
          <w:b/>
          <w:color w:val="0000FF"/>
          <w:sz w:val="32"/>
          <w:szCs w:val="32"/>
        </w:rPr>
      </w:pPr>
      <w:r w:rsidRPr="00BB12AD">
        <w:rPr>
          <w:b/>
          <w:color w:val="0000FF"/>
          <w:sz w:val="32"/>
          <w:szCs w:val="32"/>
        </w:rPr>
        <w:t>Nota do Editor do site, Dr. Paulo R. Margotto. Consultem também!</w:t>
      </w:r>
      <w:r w:rsidR="00C53650" w:rsidRPr="00C53650">
        <w:rPr>
          <w:noProof/>
          <w:lang w:eastAsia="pt-BR"/>
        </w:rPr>
        <w:t xml:space="preserve"> </w:t>
      </w:r>
      <w:r w:rsidRPr="00BB12AD">
        <w:rPr>
          <w:b/>
          <w:color w:val="0000FF"/>
          <w:sz w:val="32"/>
          <w:szCs w:val="32"/>
        </w:rPr>
        <w:t>Estudando Juntos!</w:t>
      </w:r>
    </w:p>
    <w:p w:rsidR="00BB12AD" w:rsidRDefault="00BB12AD" w:rsidP="00B11304">
      <w:pPr>
        <w:jc w:val="both"/>
        <w:rPr>
          <w:noProof/>
          <w:lang w:eastAsia="pt-BR"/>
        </w:rPr>
      </w:pPr>
    </w:p>
    <w:p w:rsidR="00BB12AD" w:rsidRDefault="00EA7A4F" w:rsidP="00B11304">
      <w:pPr>
        <w:jc w:val="both"/>
        <w:rPr>
          <w:noProof/>
          <w:lang w:eastAsia="pt-BR"/>
        </w:rPr>
      </w:pPr>
      <w:r>
        <w:rPr>
          <w:noProof/>
          <w:lang w:eastAsia="pt-BR"/>
        </w:rPr>
        <w:t xml:space="preserve">                                 </w:t>
      </w:r>
      <w:r w:rsidR="009D264A">
        <w:rPr>
          <w:noProof/>
          <w:lang w:eastAsia="pt-BR"/>
        </w:rPr>
        <w:drawing>
          <wp:inline distT="0" distB="0" distL="0" distR="0">
            <wp:extent cx="2686050" cy="1511300"/>
            <wp:effectExtent l="19050" t="0" r="0" b="0"/>
            <wp:docPr id="18" name="Imagem 15" descr="C:\Users\user\Desktop\20191203_2219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5" descr="C:\Users\user\Desktop\20191203_221915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1511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12AD" w:rsidRDefault="00EA7A4F" w:rsidP="00B11304">
      <w:pPr>
        <w:jc w:val="both"/>
        <w:rPr>
          <w:noProof/>
          <w:lang w:eastAsia="pt-BR"/>
        </w:rPr>
      </w:pPr>
      <w:r>
        <w:rPr>
          <w:noProof/>
          <w:lang w:eastAsia="pt-BR"/>
        </w:rPr>
        <w:t xml:space="preserve">                  Drs. Marta David Rocha de Moura, Paulo R. Margotto e Sandra Lin</w:t>
      </w:r>
    </w:p>
    <w:p w:rsidR="00C53650" w:rsidRPr="00C53650" w:rsidRDefault="00C53650" w:rsidP="00C53650">
      <w:pPr>
        <w:pStyle w:val="Ttulo1"/>
        <w:spacing w:before="200" w:beforeAutospacing="0" w:after="40" w:afterAutospacing="0"/>
        <w:jc w:val="center"/>
        <w:rPr>
          <w:rFonts w:ascii="Lato" w:hAnsi="Lato"/>
          <w:color w:val="0000FF"/>
          <w:sz w:val="36"/>
          <w:szCs w:val="36"/>
        </w:rPr>
      </w:pPr>
      <w:r w:rsidRPr="00C53650">
        <w:rPr>
          <w:rFonts w:ascii="Lato" w:hAnsi="Lato"/>
          <w:color w:val="0000FF"/>
          <w:sz w:val="36"/>
          <w:szCs w:val="36"/>
        </w:rPr>
        <w:lastRenderedPageBreak/>
        <w:t>DISTÚRBIOS HEMORRÁGICOS-2020</w:t>
      </w:r>
    </w:p>
    <w:p w:rsidR="00C53650" w:rsidRDefault="009D264A" w:rsidP="00C53650">
      <w:pPr>
        <w:jc w:val="center"/>
      </w:pPr>
      <w:r>
        <w:rPr>
          <w:noProof/>
          <w:color w:val="78909C"/>
          <w:lang w:eastAsia="pt-BR"/>
        </w:rPr>
        <w:drawing>
          <wp:inline distT="0" distB="0" distL="0" distR="0">
            <wp:extent cx="457200" cy="457200"/>
            <wp:effectExtent l="19050" t="0" r="0" b="0"/>
            <wp:docPr id="17" name="Imagem 13" descr="doc">
              <a:hlinkClick xmlns:a="http://schemas.openxmlformats.org/drawingml/2006/main" r:id="rId17" tooltip="&quot;NOVO-DISTURBIOS_HEMORRAGICOS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3" descr="doc">
                      <a:hlinkClick r:id="rId17" tooltip="&quot;NOVO-DISTURBIOS_HEMORRAGICOS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3650" w:rsidRDefault="00C53650" w:rsidP="00C53650">
      <w:pPr>
        <w:pStyle w:val="NormalWeb"/>
        <w:spacing w:before="0" w:beforeAutospacing="0" w:after="360" w:afterAutospacing="0" w:line="408" w:lineRule="atLeast"/>
        <w:jc w:val="center"/>
        <w:rPr>
          <w:rFonts w:ascii="Helvetica" w:hAnsi="Helvetica" w:cs="Helvetica"/>
          <w:color w:val="424242"/>
          <w:sz w:val="18"/>
          <w:szCs w:val="18"/>
        </w:rPr>
      </w:pPr>
      <w:r>
        <w:rPr>
          <w:rFonts w:ascii="Helvetica" w:hAnsi="Helvetica" w:cs="Helvetica"/>
          <w:color w:val="424242"/>
          <w:sz w:val="18"/>
          <w:szCs w:val="18"/>
        </w:rPr>
        <w:t>Paulo R. Margotto</w:t>
      </w:r>
    </w:p>
    <w:p w:rsidR="00C53650" w:rsidRDefault="00C53650" w:rsidP="00C53650">
      <w:pPr>
        <w:pStyle w:val="NormalWeb"/>
        <w:spacing w:before="0" w:beforeAutospacing="0" w:after="360" w:afterAutospacing="0" w:line="408" w:lineRule="atLeast"/>
        <w:jc w:val="center"/>
        <w:rPr>
          <w:rFonts w:ascii="Helvetica" w:hAnsi="Helvetica" w:cs="Helvetica"/>
          <w:color w:val="424242"/>
          <w:sz w:val="18"/>
          <w:szCs w:val="18"/>
        </w:rPr>
      </w:pPr>
      <w:r>
        <w:rPr>
          <w:rFonts w:ascii="Helvetica" w:hAnsi="Helvetica" w:cs="Helvetica"/>
          <w:color w:val="424242"/>
          <w:sz w:val="18"/>
          <w:szCs w:val="18"/>
        </w:rPr>
        <w:t>Capítulo do Livro Assistência ao Recém-Nascido de Risco, 4a Edição, 2020, no Prelo</w:t>
      </w:r>
    </w:p>
    <w:p w:rsidR="00BB12AD" w:rsidRDefault="00BB12AD" w:rsidP="00B11304">
      <w:pPr>
        <w:jc w:val="both"/>
        <w:rPr>
          <w:noProof/>
          <w:lang w:eastAsia="pt-BR"/>
        </w:rPr>
      </w:pPr>
    </w:p>
    <w:p w:rsidR="00BB12AD" w:rsidRDefault="00BB12AD" w:rsidP="00B11304">
      <w:pPr>
        <w:jc w:val="both"/>
        <w:rPr>
          <w:noProof/>
          <w:lang w:eastAsia="pt-BR"/>
        </w:rPr>
      </w:pPr>
    </w:p>
    <w:p w:rsidR="00BC0085" w:rsidRDefault="009D264A" w:rsidP="00B11304">
      <w:pPr>
        <w:jc w:val="both"/>
      </w:pPr>
      <w:r>
        <w:rPr>
          <w:noProof/>
          <w:lang w:eastAsia="pt-BR"/>
        </w:rPr>
        <w:drawing>
          <wp:inline distT="0" distB="0" distL="0" distR="0">
            <wp:extent cx="5194300" cy="6280150"/>
            <wp:effectExtent l="19050" t="0" r="6350" b="0"/>
            <wp:docPr id="16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4300" cy="6280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0085" w:rsidRDefault="00BC0085" w:rsidP="00B11304">
      <w:pPr>
        <w:jc w:val="both"/>
      </w:pPr>
    </w:p>
    <w:p w:rsidR="00BC0085" w:rsidRDefault="00BC0085" w:rsidP="00B11304">
      <w:pPr>
        <w:jc w:val="both"/>
      </w:pPr>
    </w:p>
    <w:p w:rsidR="00BB12AD" w:rsidRDefault="00BB12AD" w:rsidP="00BB12AD">
      <w:pPr>
        <w:ind w:firstLine="708"/>
        <w:jc w:val="both"/>
      </w:pPr>
      <w:r w:rsidRPr="00491C6B">
        <w:rPr>
          <w:b/>
          <w:bCs/>
        </w:rPr>
        <w:lastRenderedPageBreak/>
        <w:t xml:space="preserve">A proteína C </w:t>
      </w:r>
      <w:r w:rsidRPr="00491C6B">
        <w:t>é uma proteína de coagulação dependente da vitamina K que é sintetizada no fígado.</w:t>
      </w:r>
      <w:r>
        <w:t xml:space="preserve"> </w:t>
      </w:r>
      <w:r w:rsidRPr="00491C6B">
        <w:t xml:space="preserve">A proteína C do plasma é ativada pelo complexo de formação de trombina ligada a um receptor na superfície celular endotelial (receptor trombomodulina [TM]. </w:t>
      </w:r>
      <w:r>
        <w:t xml:space="preserve"> </w:t>
      </w:r>
      <w:r w:rsidRPr="00491C6B">
        <w:t xml:space="preserve">TM e proteína endotelial C (EPCR) são ambos expressos nas células endoteliais e regulam a via da proteína C. </w:t>
      </w:r>
      <w:r>
        <w:t xml:space="preserve"> </w:t>
      </w:r>
      <w:r w:rsidRPr="00491C6B">
        <w:t xml:space="preserve">A trombina se liga à MT e atua como catalisador para a ativação da proteína C pela trombina. </w:t>
      </w:r>
      <w:r>
        <w:t xml:space="preserve"> </w:t>
      </w:r>
      <w:r w:rsidRPr="00491C6B">
        <w:t xml:space="preserve">O EPCR se liga à proteína C e melhora a ativação da proteína C por complexos de TM por 10 vezes. </w:t>
      </w:r>
      <w:r>
        <w:t xml:space="preserve"> </w:t>
      </w:r>
      <w:r w:rsidRPr="00491C6B">
        <w:t>A proteína C ativada (APC) inativa o fator (F) Va e FVIIIa por proteólise limitada, resultando em uma regulação negativa de geração de trombina.</w:t>
      </w:r>
      <w:r>
        <w:t xml:space="preserve"> </w:t>
      </w:r>
      <w:r w:rsidRPr="00491C6B">
        <w:t xml:space="preserve"> A atividade da APC é aprimorada pela  proteína S.</w:t>
      </w:r>
    </w:p>
    <w:p w:rsidR="00C53650" w:rsidRDefault="00C53650" w:rsidP="00BB12AD">
      <w:pPr>
        <w:ind w:firstLine="708"/>
        <w:jc w:val="both"/>
      </w:pPr>
    </w:p>
    <w:p w:rsidR="00BB12AD" w:rsidRPr="00BB12AD" w:rsidRDefault="00BB12AD" w:rsidP="00BB12AD">
      <w:pPr>
        <w:ind w:firstLine="708"/>
        <w:jc w:val="center"/>
        <w:rPr>
          <w:b/>
          <w:color w:val="FF0000"/>
          <w:sz w:val="28"/>
          <w:szCs w:val="28"/>
        </w:rPr>
      </w:pPr>
      <w:r w:rsidRPr="00BB12AD">
        <w:rPr>
          <w:b/>
          <w:color w:val="FF0000"/>
          <w:sz w:val="28"/>
          <w:szCs w:val="28"/>
        </w:rPr>
        <w:t>Portanto, a deficiência de proteína C ou S predispõe a diminuição da capacidade de reduzir a geração de trombina e um estado de  hipercoagulabilidade</w:t>
      </w:r>
    </w:p>
    <w:p w:rsidR="00BC0085" w:rsidRDefault="00BC0085" w:rsidP="00B11304">
      <w:pPr>
        <w:jc w:val="both"/>
      </w:pPr>
    </w:p>
    <w:p w:rsidR="00BB12AD" w:rsidRDefault="00BB12AD" w:rsidP="00C53650">
      <w:pPr>
        <w:ind w:firstLine="708"/>
        <w:jc w:val="center"/>
        <w:rPr>
          <w:color w:val="0000FF"/>
          <w:sz w:val="36"/>
          <w:szCs w:val="36"/>
        </w:rPr>
      </w:pPr>
      <w:r w:rsidRPr="00C53650">
        <w:rPr>
          <w:color w:val="0000FF"/>
          <w:sz w:val="36"/>
          <w:szCs w:val="36"/>
        </w:rPr>
        <w:t>Conduta</w:t>
      </w:r>
    </w:p>
    <w:p w:rsidR="00C53650" w:rsidRPr="00C53650" w:rsidRDefault="00C53650" w:rsidP="00C53650">
      <w:pPr>
        <w:ind w:firstLine="708"/>
        <w:jc w:val="center"/>
        <w:rPr>
          <w:color w:val="0000FF"/>
          <w:sz w:val="36"/>
          <w:szCs w:val="36"/>
        </w:rPr>
      </w:pPr>
    </w:p>
    <w:p w:rsidR="00BB12AD" w:rsidRDefault="00BB12AD" w:rsidP="00BB12AD">
      <w:pPr>
        <w:ind w:firstLine="708"/>
        <w:jc w:val="both"/>
      </w:pPr>
      <w:r w:rsidRPr="00FF7430">
        <w:t xml:space="preserve">Púrpura Fulminans é uma emergência hematológica, sendo obrigatório o reconhecimento e o início precoce do tratamento para evitar complicações. </w:t>
      </w:r>
    </w:p>
    <w:p w:rsidR="00BB12AD" w:rsidRPr="00FF7430" w:rsidRDefault="00BB12AD" w:rsidP="00BB12AD">
      <w:pPr>
        <w:ind w:firstLine="708"/>
        <w:jc w:val="both"/>
      </w:pPr>
      <w:r w:rsidRPr="00FF7430">
        <w:t>O diagnóstico precoce e o pronto gerenciamento são cruciais para evitar complicações e melhorar a morbidade e a mortalidade</w:t>
      </w:r>
    </w:p>
    <w:p w:rsidR="00BB12AD" w:rsidRDefault="00BB12AD" w:rsidP="00BB12AD">
      <w:pPr>
        <w:ind w:firstLine="708"/>
        <w:jc w:val="center"/>
      </w:pPr>
      <w:r w:rsidRPr="00FF7430">
        <w:t xml:space="preserve">O tratamento imediato é </w:t>
      </w:r>
      <w:r w:rsidRPr="00FF7430">
        <w:rPr>
          <w:b/>
        </w:rPr>
        <w:t>a transfusão de plasma fresco congelado</w:t>
      </w:r>
      <w:r w:rsidRPr="00FF7430">
        <w:t xml:space="preserve"> para substituir pró-coagulantes e anticoag</w:t>
      </w:r>
      <w:r>
        <w:t xml:space="preserve">ulantes que foram consumidos (o </w:t>
      </w:r>
      <w:r w:rsidRPr="00FF7430">
        <w:t>principal objetivo da transfusão de plasma fresco congelado é substituir a proteína C e a proteína S qu</w:t>
      </w:r>
      <w:r>
        <w:t xml:space="preserve">e estão severamente deficientes). </w:t>
      </w:r>
    </w:p>
    <w:p w:rsidR="00BB12AD" w:rsidRDefault="00BB12AD" w:rsidP="00BB12AD">
      <w:pPr>
        <w:ind w:firstLine="708"/>
        <w:jc w:val="center"/>
      </w:pPr>
      <w:r w:rsidRPr="00FF7430">
        <w:rPr>
          <w:b/>
          <w:bCs/>
        </w:rPr>
        <w:t>1 mL/kg de plasma fresco congelado  aumentará a concentração plasmática de proteína C em 1 UI/dL. O ideal é aumentar pelo menos 10 UI/dL enquanto aguarda o concentrado de proteína C</w:t>
      </w:r>
      <w:r>
        <w:rPr>
          <w:b/>
          <w:bCs/>
        </w:rPr>
        <w:t>.</w:t>
      </w:r>
    </w:p>
    <w:p w:rsidR="00BB12AD" w:rsidRDefault="00BB12AD" w:rsidP="00BB12AD">
      <w:pPr>
        <w:ind w:firstLine="708"/>
        <w:jc w:val="both"/>
      </w:pPr>
      <w:r w:rsidRPr="00FF7430">
        <w:t xml:space="preserve"> O concentrado de proteína C é recomendado na deficiência hereditária grave da proteína C após confirmar o diagnóstico para minimizar o uso do plasma fresco congelado.</w:t>
      </w:r>
    </w:p>
    <w:p w:rsidR="00BB12AD" w:rsidRPr="00FF7430" w:rsidRDefault="00BB12AD" w:rsidP="00BB12AD">
      <w:pPr>
        <w:ind w:firstLine="708"/>
        <w:jc w:val="both"/>
      </w:pPr>
    </w:p>
    <w:p w:rsidR="00BB12AD" w:rsidRDefault="00BB12AD" w:rsidP="00BB12AD">
      <w:pPr>
        <w:numPr>
          <w:ilvl w:val="0"/>
          <w:numId w:val="2"/>
        </w:numPr>
        <w:jc w:val="both"/>
      </w:pPr>
      <w:r w:rsidRPr="00FF7430">
        <w:rPr>
          <w:b/>
          <w:bCs/>
        </w:rPr>
        <w:t xml:space="preserve">Concentrados de proteína C: </w:t>
      </w:r>
      <w:r w:rsidRPr="00490A45">
        <w:rPr>
          <w:bCs/>
        </w:rPr>
        <w:t xml:space="preserve">Ceprotin </w:t>
      </w:r>
      <w:r w:rsidRPr="00FF7430">
        <w:t xml:space="preserve">(Baxter-EUA) e </w:t>
      </w:r>
      <w:r w:rsidRPr="00490A45">
        <w:rPr>
          <w:bCs/>
        </w:rPr>
        <w:t xml:space="preserve">Protexel </w:t>
      </w:r>
      <w:r w:rsidRPr="00FF7430">
        <w:t>(LFB-França);</w:t>
      </w:r>
    </w:p>
    <w:p w:rsidR="00BB12AD" w:rsidRPr="00FF7430" w:rsidRDefault="00BB12AD" w:rsidP="00BB12AD">
      <w:pPr>
        <w:numPr>
          <w:ilvl w:val="0"/>
          <w:numId w:val="2"/>
        </w:numPr>
        <w:jc w:val="both"/>
      </w:pPr>
      <w:r>
        <w:rPr>
          <w:b/>
          <w:bCs/>
        </w:rPr>
        <w:t>Dose:</w:t>
      </w:r>
      <w:r w:rsidR="00EA7A4F">
        <w:rPr>
          <w:b/>
          <w:bCs/>
        </w:rPr>
        <w:t xml:space="preserve"> </w:t>
      </w:r>
      <w:r w:rsidRPr="00490A45">
        <w:rPr>
          <w:bCs/>
        </w:rPr>
        <w:t>para ambos os produtos é de 100 U/kg inicialmente, seguido de 50 U/kg a cada 6h (meia-vida 6 a 10 horas);</w:t>
      </w:r>
    </w:p>
    <w:p w:rsidR="00BB12AD" w:rsidRPr="00490A45" w:rsidRDefault="00BB12AD" w:rsidP="00BB12AD">
      <w:pPr>
        <w:numPr>
          <w:ilvl w:val="0"/>
          <w:numId w:val="2"/>
        </w:numPr>
        <w:jc w:val="both"/>
      </w:pPr>
      <w:r w:rsidRPr="00FF7430">
        <w:rPr>
          <w:b/>
          <w:bCs/>
        </w:rPr>
        <w:t xml:space="preserve"> Manutenção</w:t>
      </w:r>
      <w:r w:rsidRPr="00FF7430">
        <w:t xml:space="preserve">: </w:t>
      </w:r>
      <w:r w:rsidRPr="00FF7430">
        <w:rPr>
          <w:bCs/>
        </w:rPr>
        <w:t>anticoagulação oral isolad</w:t>
      </w:r>
      <w:r>
        <w:rPr>
          <w:bCs/>
        </w:rPr>
        <w:t>a ou concentrado de proteína C:</w:t>
      </w:r>
      <w:r w:rsidRPr="00FF7430">
        <w:rPr>
          <w:bCs/>
        </w:rPr>
        <w:t>30 a 50 U / kg a cada 1 a 3 dias</w:t>
      </w:r>
      <w:r>
        <w:rPr>
          <w:bCs/>
        </w:rPr>
        <w:t>.</w:t>
      </w:r>
    </w:p>
    <w:p w:rsidR="00BB12AD" w:rsidRPr="00490A45" w:rsidRDefault="00BB12AD" w:rsidP="00BB12AD">
      <w:pPr>
        <w:numPr>
          <w:ilvl w:val="0"/>
          <w:numId w:val="2"/>
        </w:numPr>
        <w:rPr>
          <w:b/>
          <w:bCs/>
        </w:rPr>
      </w:pPr>
      <w:r w:rsidRPr="00490A45">
        <w:rPr>
          <w:b/>
          <w:bCs/>
        </w:rPr>
        <w:t xml:space="preserve">Anticoagulação: </w:t>
      </w:r>
      <w:r w:rsidRPr="00490A45">
        <w:rPr>
          <w:bCs/>
        </w:rPr>
        <w:t>deve ser iniciada juntamente com a reposição de proteína C (concentrado ou plasma fresco) e é eficaz a longo prazo</w:t>
      </w:r>
      <w:r w:rsidRPr="00490A45">
        <w:rPr>
          <w:b/>
          <w:bCs/>
        </w:rPr>
        <w:t>;</w:t>
      </w:r>
    </w:p>
    <w:p w:rsidR="00BB12AD" w:rsidRPr="00490A45" w:rsidRDefault="00BB12AD" w:rsidP="00BB12AD">
      <w:pPr>
        <w:ind w:left="720"/>
        <w:jc w:val="both"/>
        <w:rPr>
          <w:b/>
          <w:bCs/>
        </w:rPr>
      </w:pPr>
      <w:r>
        <w:rPr>
          <w:b/>
          <w:bCs/>
        </w:rPr>
        <w:t xml:space="preserve">    -</w:t>
      </w:r>
      <w:r w:rsidRPr="00490A45">
        <w:rPr>
          <w:b/>
          <w:bCs/>
        </w:rPr>
        <w:t>Heparina não-fracionada ou de baixo peso molecular (1,0 e 1,5mg /kg/dose a cada 12 horas com um nível terapêutico de anti-Xa alvo de 0,5 a 1 U/mL).</w:t>
      </w:r>
      <w:r w:rsidR="00373287">
        <w:rPr>
          <w:b/>
          <w:bCs/>
        </w:rPr>
        <w:t xml:space="preserve">Pode ser usada por via subcutânea. </w:t>
      </w:r>
      <w:r w:rsidR="00EA7A4F">
        <w:rPr>
          <w:b/>
          <w:bCs/>
        </w:rPr>
        <w:t>Não</w:t>
      </w:r>
      <w:r w:rsidR="00373287">
        <w:rPr>
          <w:b/>
          <w:bCs/>
        </w:rPr>
        <w:t xml:space="preserve"> usar em infusão contínua!</w:t>
      </w:r>
    </w:p>
    <w:p w:rsidR="00BB12AD" w:rsidRPr="00490A45" w:rsidRDefault="00BB12AD" w:rsidP="00BB12AD">
      <w:pPr>
        <w:ind w:left="720"/>
        <w:jc w:val="both"/>
      </w:pPr>
      <w:r w:rsidRPr="00490A45">
        <w:rPr>
          <w:b/>
          <w:bCs/>
        </w:rPr>
        <w:t xml:space="preserve">                                  </w:t>
      </w:r>
    </w:p>
    <w:p w:rsidR="00BB12AD" w:rsidRPr="00490A45" w:rsidRDefault="00BB12AD" w:rsidP="00BB12AD">
      <w:pPr>
        <w:ind w:firstLine="708"/>
        <w:jc w:val="both"/>
      </w:pPr>
      <w:r w:rsidRPr="00490A45">
        <w:t xml:space="preserve">Interessante: </w:t>
      </w:r>
      <w:r w:rsidRPr="00490A45">
        <w:rPr>
          <w:bCs/>
        </w:rPr>
        <w:t xml:space="preserve">D-dímero crescente ou elevado pode ser um primeiro sinal de recorrência da púrpura </w:t>
      </w:r>
      <w:r>
        <w:rPr>
          <w:bCs/>
        </w:rPr>
        <w:t>fulminans</w:t>
      </w:r>
      <w:r w:rsidRPr="00490A45">
        <w:rPr>
          <w:bCs/>
        </w:rPr>
        <w:t>.</w:t>
      </w:r>
    </w:p>
    <w:p w:rsidR="00BC0085" w:rsidRDefault="00BC0085" w:rsidP="00B11304">
      <w:pPr>
        <w:jc w:val="both"/>
      </w:pPr>
    </w:p>
    <w:p w:rsidR="00BC0085" w:rsidRDefault="009D264A" w:rsidP="00B11304">
      <w:pPr>
        <w:jc w:val="both"/>
      </w:pPr>
      <w:r>
        <w:rPr>
          <w:noProof/>
          <w:lang w:eastAsia="pt-BR"/>
        </w:rPr>
        <w:lastRenderedPageBreak/>
        <w:drawing>
          <wp:inline distT="0" distB="0" distL="0" distR="0">
            <wp:extent cx="5403850" cy="2178050"/>
            <wp:effectExtent l="19050" t="0" r="6350" b="0"/>
            <wp:docPr id="15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4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3850" cy="2178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3287" w:rsidRDefault="009D264A" w:rsidP="00B11304">
      <w:pPr>
        <w:jc w:val="both"/>
      </w:pPr>
      <w:r>
        <w:rPr>
          <w:noProof/>
          <w:lang w:eastAsia="pt-BR"/>
        </w:rPr>
        <w:drawing>
          <wp:inline distT="0" distB="0" distL="0" distR="0">
            <wp:extent cx="5403850" cy="2330450"/>
            <wp:effectExtent l="19050" t="0" r="6350" b="0"/>
            <wp:docPr id="11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7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3850" cy="2330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3287" w:rsidRDefault="00373287" w:rsidP="00B11304">
      <w:pPr>
        <w:jc w:val="both"/>
      </w:pPr>
    </w:p>
    <w:p w:rsidR="00373287" w:rsidRDefault="009D264A" w:rsidP="00B11304">
      <w:pPr>
        <w:jc w:val="both"/>
      </w:pPr>
      <w:r>
        <w:rPr>
          <w:noProof/>
          <w:lang w:eastAsia="pt-BR"/>
        </w:rPr>
        <w:drawing>
          <wp:inline distT="0" distB="0" distL="0" distR="0">
            <wp:extent cx="4305300" cy="2794000"/>
            <wp:effectExtent l="19050" t="0" r="0" b="0"/>
            <wp:docPr id="9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0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5300" cy="279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5CCC" w:rsidRDefault="007B5180" w:rsidP="00C53650">
      <w:pPr>
        <w:jc w:val="center"/>
      </w:pPr>
      <w:hyperlink r:id="rId23" w:history="1">
        <w:r w:rsidR="008C5CCC" w:rsidRPr="00D65373">
          <w:rPr>
            <w:rStyle w:val="Hyperlink"/>
            <w:b/>
            <w:sz w:val="32"/>
            <w:szCs w:val="32"/>
          </w:rPr>
          <w:t>CONSULTEM: https://pt.khanacademy.org/science/health-and-medicine/advanced-hematologic-system/bleeding-and-impaired-hemostasis/v/anticoagulation</w:t>
        </w:r>
      </w:hyperlink>
    </w:p>
    <w:p w:rsidR="008C5CCC" w:rsidRDefault="008C5CCC" w:rsidP="00C53650">
      <w:pPr>
        <w:jc w:val="center"/>
      </w:pPr>
    </w:p>
    <w:p w:rsidR="008C5CCC" w:rsidRDefault="008C5CCC" w:rsidP="00C53650">
      <w:pPr>
        <w:jc w:val="center"/>
      </w:pPr>
    </w:p>
    <w:p w:rsidR="00C53650" w:rsidRDefault="00C53650" w:rsidP="00C53650">
      <w:pPr>
        <w:jc w:val="center"/>
      </w:pPr>
      <w:r>
        <w:t>Paulo R. Margotto</w:t>
      </w:r>
    </w:p>
    <w:p w:rsidR="00C53650" w:rsidRDefault="00C53650" w:rsidP="00C53650">
      <w:pPr>
        <w:jc w:val="center"/>
      </w:pPr>
      <w:r>
        <w:t xml:space="preserve">Brasília, 14 de dezembro de </w:t>
      </w:r>
      <w:r w:rsidR="00EA7A4F">
        <w:t>2019</w:t>
      </w:r>
    </w:p>
    <w:sectPr w:rsidR="00C53650" w:rsidSect="009962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ato">
    <w:panose1 w:val="020F0502020204030203"/>
    <w:charset w:val="00"/>
    <w:family w:val="swiss"/>
    <w:pitch w:val="variable"/>
    <w:sig w:usb0="800000AF" w:usb1="4000604A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9120A2"/>
    <w:multiLevelType w:val="hybridMultilevel"/>
    <w:tmpl w:val="50F2DFC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5D70321"/>
    <w:multiLevelType w:val="hybridMultilevel"/>
    <w:tmpl w:val="8592A28C"/>
    <w:lvl w:ilvl="0" w:tplc="7D406D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642019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906F13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7308DE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BEA65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9DA58E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4DA34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A6064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2D6CC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characterSpacingControl w:val="doNotCompress"/>
  <w:compat/>
  <w:rsids>
    <w:rsidRoot w:val="003B50E6"/>
    <w:rsid w:val="00003F96"/>
    <w:rsid w:val="00017515"/>
    <w:rsid w:val="00062F74"/>
    <w:rsid w:val="000C5D67"/>
    <w:rsid w:val="00173CCA"/>
    <w:rsid w:val="001D7D4F"/>
    <w:rsid w:val="00215053"/>
    <w:rsid w:val="00224FC5"/>
    <w:rsid w:val="0022679C"/>
    <w:rsid w:val="00251C32"/>
    <w:rsid w:val="00256B00"/>
    <w:rsid w:val="00287D87"/>
    <w:rsid w:val="0034609B"/>
    <w:rsid w:val="00373287"/>
    <w:rsid w:val="003B4BAA"/>
    <w:rsid w:val="003B4D9C"/>
    <w:rsid w:val="003B50E6"/>
    <w:rsid w:val="003D3CD4"/>
    <w:rsid w:val="003F1790"/>
    <w:rsid w:val="0043376C"/>
    <w:rsid w:val="00477A6B"/>
    <w:rsid w:val="005868BD"/>
    <w:rsid w:val="005E04F1"/>
    <w:rsid w:val="005E09F1"/>
    <w:rsid w:val="006339FE"/>
    <w:rsid w:val="006E47B8"/>
    <w:rsid w:val="00735C17"/>
    <w:rsid w:val="007447B2"/>
    <w:rsid w:val="00771018"/>
    <w:rsid w:val="007B5180"/>
    <w:rsid w:val="008C5CCC"/>
    <w:rsid w:val="008E7590"/>
    <w:rsid w:val="009952D5"/>
    <w:rsid w:val="009962F6"/>
    <w:rsid w:val="009A19F7"/>
    <w:rsid w:val="009D264A"/>
    <w:rsid w:val="00A77D85"/>
    <w:rsid w:val="00AB347B"/>
    <w:rsid w:val="00B11304"/>
    <w:rsid w:val="00B31B06"/>
    <w:rsid w:val="00BA1C05"/>
    <w:rsid w:val="00BB12AD"/>
    <w:rsid w:val="00BC0085"/>
    <w:rsid w:val="00C06965"/>
    <w:rsid w:val="00C4112C"/>
    <w:rsid w:val="00C53650"/>
    <w:rsid w:val="00C8560E"/>
    <w:rsid w:val="00CD46D8"/>
    <w:rsid w:val="00D0097A"/>
    <w:rsid w:val="00D94C0E"/>
    <w:rsid w:val="00DD540F"/>
    <w:rsid w:val="00E71BAE"/>
    <w:rsid w:val="00E8707B"/>
    <w:rsid w:val="00EA7A4F"/>
    <w:rsid w:val="00EB0B43"/>
    <w:rsid w:val="00F446F5"/>
    <w:rsid w:val="00F66C87"/>
    <w:rsid w:val="00FA1FB9"/>
    <w:rsid w:val="00FD73EA"/>
    <w:rsid w:val="00FD79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962F6"/>
    <w:rPr>
      <w:sz w:val="24"/>
      <w:szCs w:val="24"/>
      <w:lang w:eastAsia="ja-JP"/>
    </w:rPr>
  </w:style>
  <w:style w:type="paragraph" w:styleId="Ttulo1">
    <w:name w:val="heading 1"/>
    <w:basedOn w:val="Normal"/>
    <w:link w:val="Ttulo1Char"/>
    <w:uiPriority w:val="9"/>
    <w:qFormat/>
    <w:rsid w:val="00C53650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  <w:lang w:eastAsia="pt-BR"/>
    </w:rPr>
  </w:style>
  <w:style w:type="paragraph" w:styleId="Ttulo5">
    <w:name w:val="heading 5"/>
    <w:basedOn w:val="Normal"/>
    <w:link w:val="Ttulo5Char"/>
    <w:uiPriority w:val="9"/>
    <w:qFormat/>
    <w:rsid w:val="00C53650"/>
    <w:pPr>
      <w:spacing w:before="100" w:beforeAutospacing="1" w:after="100" w:afterAutospacing="1"/>
      <w:outlineLvl w:val="4"/>
    </w:pPr>
    <w:rPr>
      <w:rFonts w:eastAsia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lid-translation">
    <w:name w:val="tlid-translation"/>
    <w:basedOn w:val="Fontepargpadro"/>
    <w:rsid w:val="003B50E6"/>
  </w:style>
  <w:style w:type="paragraph" w:customStyle="1" w:styleId="title">
    <w:name w:val="title"/>
    <w:basedOn w:val="Normal"/>
    <w:rsid w:val="00771018"/>
    <w:pPr>
      <w:spacing w:before="100" w:beforeAutospacing="1" w:after="100" w:afterAutospacing="1"/>
    </w:pPr>
    <w:rPr>
      <w:rFonts w:eastAsia="Times New Roman"/>
      <w:lang w:eastAsia="pt-BR"/>
    </w:rPr>
  </w:style>
  <w:style w:type="character" w:styleId="Hyperlink">
    <w:name w:val="Hyperlink"/>
    <w:basedOn w:val="Fontepargpadro"/>
    <w:uiPriority w:val="99"/>
    <w:unhideWhenUsed/>
    <w:rsid w:val="00771018"/>
    <w:rPr>
      <w:color w:val="0000FF"/>
      <w:u w:val="single"/>
    </w:rPr>
  </w:style>
  <w:style w:type="paragraph" w:customStyle="1" w:styleId="desc">
    <w:name w:val="desc"/>
    <w:basedOn w:val="Normal"/>
    <w:rsid w:val="00771018"/>
    <w:pPr>
      <w:spacing w:before="100" w:beforeAutospacing="1" w:after="100" w:afterAutospacing="1"/>
    </w:pPr>
    <w:rPr>
      <w:rFonts w:eastAsia="Times New Roman"/>
      <w:lang w:eastAsia="pt-BR"/>
    </w:rPr>
  </w:style>
  <w:style w:type="paragraph" w:customStyle="1" w:styleId="details">
    <w:name w:val="details"/>
    <w:basedOn w:val="Normal"/>
    <w:rsid w:val="00771018"/>
    <w:pPr>
      <w:spacing w:before="100" w:beforeAutospacing="1" w:after="100" w:afterAutospacing="1"/>
    </w:pPr>
    <w:rPr>
      <w:rFonts w:eastAsia="Times New Roman"/>
      <w:lang w:eastAsia="pt-BR"/>
    </w:rPr>
  </w:style>
  <w:style w:type="character" w:customStyle="1" w:styleId="jrnl">
    <w:name w:val="jrnl"/>
    <w:basedOn w:val="Fontepargpadro"/>
    <w:rsid w:val="00771018"/>
  </w:style>
  <w:style w:type="paragraph" w:customStyle="1" w:styleId="links">
    <w:name w:val="links"/>
    <w:basedOn w:val="Normal"/>
    <w:rsid w:val="00771018"/>
    <w:pPr>
      <w:spacing w:before="100" w:beforeAutospacing="1" w:after="100" w:afterAutospacing="1"/>
    </w:pPr>
    <w:rPr>
      <w:rFonts w:eastAsia="Times New Roman"/>
      <w:lang w:eastAsia="pt-BR"/>
    </w:rPr>
  </w:style>
  <w:style w:type="paragraph" w:styleId="PargrafodaLista">
    <w:name w:val="List Paragraph"/>
    <w:basedOn w:val="Normal"/>
    <w:uiPriority w:val="34"/>
    <w:qFormat/>
    <w:rsid w:val="00FD73EA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952D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952D5"/>
    <w:rPr>
      <w:rFonts w:ascii="Tahoma" w:hAnsi="Tahoma" w:cs="Tahoma"/>
      <w:sz w:val="16"/>
      <w:szCs w:val="16"/>
      <w:lang w:eastAsia="ja-JP"/>
    </w:rPr>
  </w:style>
  <w:style w:type="paragraph" w:styleId="Subttulo">
    <w:name w:val="Subtitle"/>
    <w:basedOn w:val="Normal"/>
    <w:next w:val="Normal"/>
    <w:link w:val="SubttuloChar"/>
    <w:qFormat/>
    <w:rsid w:val="00735C17"/>
    <w:pPr>
      <w:numPr>
        <w:ilvl w:val="1"/>
      </w:numPr>
    </w:pPr>
    <w:rPr>
      <w:rFonts w:ascii="Cambria" w:eastAsia="Times New Roman" w:hAnsi="Cambria"/>
      <w:i/>
      <w:iCs/>
      <w:color w:val="4F81BD"/>
      <w:spacing w:val="15"/>
    </w:rPr>
  </w:style>
  <w:style w:type="character" w:customStyle="1" w:styleId="SubttuloChar">
    <w:name w:val="Subtítulo Char"/>
    <w:basedOn w:val="Fontepargpadro"/>
    <w:link w:val="Subttulo"/>
    <w:rsid w:val="00735C17"/>
    <w:rPr>
      <w:rFonts w:ascii="Cambria" w:eastAsia="Times New Roman" w:hAnsi="Cambria" w:cs="Times New Roman"/>
      <w:i/>
      <w:iCs/>
      <w:color w:val="4F81BD"/>
      <w:spacing w:val="15"/>
      <w:sz w:val="24"/>
      <w:szCs w:val="24"/>
      <w:lang w:eastAsia="ja-JP"/>
    </w:rPr>
  </w:style>
  <w:style w:type="character" w:customStyle="1" w:styleId="Ttulo1Char">
    <w:name w:val="Título 1 Char"/>
    <w:basedOn w:val="Fontepargpadro"/>
    <w:link w:val="Ttulo1"/>
    <w:uiPriority w:val="9"/>
    <w:rsid w:val="00C53650"/>
    <w:rPr>
      <w:rFonts w:eastAsia="Times New Roman"/>
      <w:b/>
      <w:bCs/>
      <w:kern w:val="36"/>
      <w:sz w:val="48"/>
      <w:szCs w:val="48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C53650"/>
    <w:rPr>
      <w:rFonts w:eastAsia="Times New Roman"/>
      <w:b/>
      <w:bCs/>
      <w:lang w:eastAsia="pt-BR"/>
    </w:rPr>
  </w:style>
  <w:style w:type="character" w:customStyle="1" w:styleId="author">
    <w:name w:val="author"/>
    <w:basedOn w:val="Fontepargpadro"/>
    <w:rsid w:val="00C53650"/>
  </w:style>
  <w:style w:type="paragraph" w:styleId="NormalWeb">
    <w:name w:val="Normal (Web)"/>
    <w:basedOn w:val="Normal"/>
    <w:uiPriority w:val="99"/>
    <w:unhideWhenUsed/>
    <w:rsid w:val="00C53650"/>
    <w:pPr>
      <w:spacing w:before="100" w:beforeAutospacing="1" w:after="100" w:afterAutospacing="1"/>
    </w:pPr>
    <w:rPr>
      <w:rFonts w:eastAsia="Times New Roman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870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7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327048">
          <w:marLeft w:val="0"/>
          <w:marRight w:val="0"/>
          <w:marTop w:val="34"/>
          <w:marBottom w:val="3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0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95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460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7553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7947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92180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0913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9024240">
                              <w:marLeft w:val="0"/>
                              <w:marRight w:val="20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7010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85375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54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846003">
                      <w:marLeft w:val="2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5924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326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037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1893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7189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102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64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08234">
          <w:marLeft w:val="0"/>
          <w:marRight w:val="0"/>
          <w:marTop w:val="34"/>
          <w:marBottom w:val="3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04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43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403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02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4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250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cbi.nlm.nih.gov/pubmed?linkname=pubmed_pubmed&amp;from_uid=29683961" TargetMode="External"/><Relationship Id="rId13" Type="http://schemas.openxmlformats.org/officeDocument/2006/relationships/image" Target="media/image4.png"/><Relationship Id="rId18" Type="http://schemas.openxmlformats.org/officeDocument/2006/relationships/image" Target="media/image8.gif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7" Type="http://schemas.openxmlformats.org/officeDocument/2006/relationships/hyperlink" Target="https://www.ncbi.nlm.nih.gov/pubmed/29683961" TargetMode="External"/><Relationship Id="rId12" Type="http://schemas.openxmlformats.org/officeDocument/2006/relationships/image" Target="media/image3.png"/><Relationship Id="rId17" Type="http://schemas.openxmlformats.org/officeDocument/2006/relationships/hyperlink" Target="http://paulomargotto.com.br/documentos/20156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2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hyperlink" Target="CONSULTEM:%20https://pt.khanacademy.org/science/health-and-medicine/advanced-hematologic-system/bleeding-and-impaired-hemostasis/v/anticoagulation" TargetMode="External"/><Relationship Id="rId10" Type="http://schemas.openxmlformats.org/officeDocument/2006/relationships/hyperlink" Target="mailto:pmargotto@gmail.com" TargetMode="External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openxmlformats.org/officeDocument/2006/relationships/hyperlink" Target="http://www.paulomargotto.com.br" TargetMode="External"/><Relationship Id="rId14" Type="http://schemas.openxmlformats.org/officeDocument/2006/relationships/image" Target="media/image5.png"/><Relationship Id="rId22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C33BB8B-0D53-4F33-BCF9-ACC5D9AE8F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2675</Words>
  <Characters>14450</Characters>
  <Application>Microsoft Office Word</Application>
  <DocSecurity>0</DocSecurity>
  <Lines>120</Lines>
  <Paragraphs>34</Paragraphs>
  <ScaleCrop>false</ScaleCrop>
  <Company/>
  <LinksUpToDate>false</LinksUpToDate>
  <CharactersWithSpaces>17091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Usuário do Windows</cp:lastModifiedBy>
  <cp:revision>2</cp:revision>
  <cp:lastPrinted>2019-12-11T00:55:00Z</cp:lastPrinted>
  <dcterms:created xsi:type="dcterms:W3CDTF">2019-12-13T18:27:00Z</dcterms:created>
  <dcterms:modified xsi:type="dcterms:W3CDTF">2019-12-13T18:27:00Z</dcterms:modified>
</cp:coreProperties>
</file>