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72AB" w:rsidRDefault="000872AB">
      <w:pPr>
        <w:jc w:val="both"/>
        <w:rPr>
          <w:rFonts w:ascii="Arial" w:hAnsi="Arial" w:cs="Arial"/>
          <w:b/>
          <w:sz w:val="24"/>
          <w:szCs w:val="24"/>
        </w:rPr>
      </w:pPr>
    </w:p>
    <w:p w:rsidR="000872AB" w:rsidRDefault="000872AB">
      <w:pPr>
        <w:jc w:val="both"/>
        <w:rPr>
          <w:rFonts w:ascii="Arial" w:hAnsi="Arial" w:cs="Arial"/>
          <w:b/>
          <w:sz w:val="24"/>
          <w:szCs w:val="24"/>
        </w:rPr>
      </w:pPr>
    </w:p>
    <w:p w:rsidR="000872AB" w:rsidRDefault="000872AB">
      <w:pPr>
        <w:jc w:val="both"/>
        <w:rPr>
          <w:rFonts w:ascii="Arial" w:hAnsi="Arial" w:cs="Arial"/>
          <w:b/>
          <w:sz w:val="24"/>
          <w:szCs w:val="24"/>
        </w:rPr>
      </w:pPr>
    </w:p>
    <w:p w:rsidR="000872AB" w:rsidRDefault="000872AB" w:rsidP="00A602BA">
      <w:pPr>
        <w:jc w:val="center"/>
        <w:rPr>
          <w:rFonts w:ascii="Algerian" w:hAnsi="Algerian" w:cs="Arial"/>
          <w:b/>
          <w:color w:val="FF00FF"/>
          <w:sz w:val="48"/>
          <w:szCs w:val="48"/>
        </w:rPr>
      </w:pPr>
      <w:r w:rsidRPr="00A602BA">
        <w:rPr>
          <w:rFonts w:ascii="Algerian" w:hAnsi="Algerian" w:cs="Arial"/>
          <w:b/>
          <w:color w:val="FF00FF"/>
          <w:sz w:val="48"/>
          <w:szCs w:val="48"/>
        </w:rPr>
        <w:t>PROTOCOLO DE VACINAÇÃO DE PREMATUROS NA UTIN E UCIN DO HOSPIT</w:t>
      </w:r>
      <w:r>
        <w:rPr>
          <w:rFonts w:ascii="Algerian" w:hAnsi="Algerian" w:cs="Arial"/>
          <w:b/>
          <w:color w:val="FF00FF"/>
          <w:sz w:val="48"/>
          <w:szCs w:val="48"/>
        </w:rPr>
        <w:t>AL MATERNO INFANTIL DE BRASÍLIA</w:t>
      </w:r>
    </w:p>
    <w:p w:rsidR="000872AB" w:rsidRPr="00A602BA" w:rsidRDefault="000872AB" w:rsidP="00A602BA">
      <w:pPr>
        <w:jc w:val="center"/>
        <w:rPr>
          <w:rFonts w:ascii="Algerian" w:hAnsi="Algerian" w:cs="Arial"/>
          <w:b/>
          <w:color w:val="FF00FF"/>
          <w:sz w:val="48"/>
          <w:szCs w:val="48"/>
        </w:rPr>
      </w:pPr>
    </w:p>
    <w:p w:rsidR="000872AB" w:rsidRPr="00A602BA" w:rsidRDefault="000872AB" w:rsidP="00A602BA">
      <w:pPr>
        <w:jc w:val="center"/>
        <w:rPr>
          <w:rFonts w:ascii="Times New Roman" w:hAnsi="Times New Roman" w:cs="Times New Roman"/>
          <w:sz w:val="32"/>
          <w:szCs w:val="32"/>
        </w:rPr>
      </w:pPr>
      <w:r w:rsidRPr="00A602BA">
        <w:rPr>
          <w:rFonts w:ascii="Times New Roman" w:hAnsi="Times New Roman" w:cs="Times New Roman"/>
          <w:sz w:val="32"/>
          <w:szCs w:val="32"/>
        </w:rPr>
        <w:t>Carlos Moreno Zaconeta, Ludmylla Beleza, Priscila Rabelo Guimarães, Aldo Roberto Ferrini Filho, Gabriela Oliveira Alves, Vitória Mendes de Lima Unidade de Neonatologia do Hospital Materno Infantil de Brasília Dr. Antônio Lisboa</w:t>
      </w:r>
    </w:p>
    <w:p w:rsidR="000872AB" w:rsidRPr="00A602BA" w:rsidRDefault="000872AB" w:rsidP="00A602BA">
      <w:pPr>
        <w:jc w:val="center"/>
        <w:rPr>
          <w:rFonts w:ascii="Times New Roman" w:hAnsi="Times New Roman" w:cs="Times New Roman"/>
          <w:sz w:val="28"/>
          <w:szCs w:val="28"/>
        </w:rPr>
      </w:pPr>
    </w:p>
    <w:p w:rsidR="000872AB" w:rsidRDefault="000872AB" w:rsidP="00A602BA">
      <w:pPr>
        <w:jc w:val="center"/>
        <w:rPr>
          <w:rFonts w:ascii="Arial" w:hAnsi="Arial" w:cs="Arial"/>
          <w:sz w:val="24"/>
          <w:szCs w:val="24"/>
        </w:rPr>
      </w:pPr>
      <w:hyperlink r:id="rId5" w:history="1">
        <w:r w:rsidRPr="009C4647">
          <w:rPr>
            <w:rStyle w:val="Hyperlink"/>
            <w:rFonts w:ascii="Arial" w:hAnsi="Arial" w:cs="Arial"/>
            <w:sz w:val="24"/>
            <w:szCs w:val="24"/>
          </w:rPr>
          <w:t>www.paulomargotto.com.br</w:t>
        </w:r>
      </w:hyperlink>
      <w:r>
        <w:rPr>
          <w:rFonts w:ascii="Arial" w:hAnsi="Arial" w:cs="Arial"/>
          <w:sz w:val="24"/>
          <w:szCs w:val="24"/>
        </w:rPr>
        <w:t xml:space="preserve"> em 1 de abril de 2023</w:t>
      </w:r>
    </w:p>
    <w:p w:rsidR="000872AB" w:rsidRDefault="000872AB" w:rsidP="00A602BA">
      <w:pPr>
        <w:jc w:val="center"/>
        <w:rPr>
          <w:rFonts w:ascii="Arial" w:hAnsi="Arial" w:cs="Arial"/>
          <w:sz w:val="24"/>
          <w:szCs w:val="24"/>
        </w:rPr>
      </w:pPr>
    </w:p>
    <w:p w:rsidR="000872AB" w:rsidRDefault="000872AB" w:rsidP="00A602BA">
      <w:pPr>
        <w:jc w:val="center"/>
        <w:rPr>
          <w:rFonts w:ascii="Arial" w:hAnsi="Arial" w:cs="Arial"/>
          <w:sz w:val="24"/>
          <w:szCs w:val="24"/>
        </w:rPr>
      </w:pPr>
    </w:p>
    <w:p w:rsidR="000872AB" w:rsidRPr="00A602BA" w:rsidRDefault="000872AB" w:rsidP="00137BE6">
      <w:pPr>
        <w:spacing w:after="0" w:line="240" w:lineRule="auto"/>
        <w:ind w:firstLine="708"/>
        <w:jc w:val="both"/>
        <w:rPr>
          <w:rFonts w:ascii="Times New Roman" w:hAnsi="Times New Roman" w:cs="Times New Roman"/>
          <w:sz w:val="28"/>
          <w:szCs w:val="28"/>
        </w:rPr>
      </w:pPr>
      <w:r w:rsidRPr="00A602BA">
        <w:rPr>
          <w:rFonts w:ascii="Times New Roman" w:hAnsi="Times New Roman" w:cs="Times New Roman"/>
          <w:sz w:val="28"/>
          <w:szCs w:val="28"/>
        </w:rPr>
        <w:t xml:space="preserve">Para se defender contra a agressão de agentes infecciosos, o organismo humano se vale da imunidade inata e da imunidade adaptativa </w:t>
      </w:r>
      <w:r w:rsidRPr="00A602BA">
        <w:rPr>
          <w:rFonts w:ascii="Times New Roman" w:hAnsi="Times New Roman" w:cs="Times New Roman"/>
          <w:sz w:val="28"/>
          <w:szCs w:val="28"/>
          <w:vertAlign w:val="superscript"/>
        </w:rPr>
        <w:t>1</w:t>
      </w:r>
      <w:r w:rsidRPr="00A602BA">
        <w:rPr>
          <w:rFonts w:ascii="Times New Roman" w:hAnsi="Times New Roman" w:cs="Times New Roman"/>
          <w:sz w:val="28"/>
          <w:szCs w:val="28"/>
        </w:rPr>
        <w:t xml:space="preserve">.  </w:t>
      </w:r>
    </w:p>
    <w:p w:rsidR="000872AB" w:rsidRPr="00A602BA" w:rsidRDefault="000872AB" w:rsidP="00137BE6">
      <w:pPr>
        <w:spacing w:after="0" w:line="240" w:lineRule="auto"/>
        <w:jc w:val="both"/>
        <w:rPr>
          <w:rFonts w:ascii="Times New Roman" w:hAnsi="Times New Roman" w:cs="Times New Roman"/>
          <w:sz w:val="28"/>
          <w:szCs w:val="28"/>
        </w:rPr>
      </w:pPr>
      <w:r w:rsidRPr="00A602BA">
        <w:rPr>
          <w:rFonts w:ascii="Times New Roman" w:hAnsi="Times New Roman" w:cs="Times New Roman"/>
          <w:sz w:val="28"/>
          <w:szCs w:val="28"/>
        </w:rPr>
        <w:tab/>
        <w:t>A imunidade inata é a primeira linha de defesa, é inespecífica  e está composta pelas barreiras da pele e das mucosas, as células fagocitárias, o sistema de complemento e o interferon entre outros.  A pele é uma camada queratinizada que sintetiza ácidos graxos que diminuem o pH, dificultando a presença de microrganismos. As secreções das mucosas contam com a IgA secretora e lisozima, que destroem microrganismos. No aparelho digestivo o pH do suco gástrico é também uma barreira. No sistema respiratório o movimento ciliar transporta vírus e bactérias em direção à faringe onde serão deglutidos ou eliminados com a tosse.  Se o agente infectante conseguir transpor estas barreiras e penetrar no organismo, os neutrófilos, monócitos e macrófagos o fagocitam e os destroem intracelularmente. Os macrófagos, simultaneamente,  apresentam os antígenos dos invasores para a imunidade específica e liberam citocinas que ativam os linfócitos T</w:t>
      </w:r>
      <w:r w:rsidRPr="00A602BA">
        <w:rPr>
          <w:rFonts w:ascii="Times New Roman" w:hAnsi="Times New Roman" w:cs="Times New Roman"/>
          <w:sz w:val="28"/>
          <w:szCs w:val="28"/>
          <w:vertAlign w:val="superscript"/>
        </w:rPr>
        <w:t>2</w:t>
      </w:r>
      <w:r w:rsidRPr="00A602BA">
        <w:rPr>
          <w:rFonts w:ascii="Times New Roman" w:hAnsi="Times New Roman" w:cs="Times New Roman"/>
          <w:sz w:val="28"/>
          <w:szCs w:val="28"/>
        </w:rPr>
        <w:t xml:space="preserve">.  Também fazendo parte da imunidade inata, as proteínas do sistema complemento opsonizam antígenos e formam proteínas que atacam as membranas celulares. As células infectadas por um vírus sintetizam interferon que se liga a receptores específicos nas células vizinhas, evitando a infecção pelo mesmo vírus. Por outro lado, a imunidade adaptativa está composta pela imunidade humoral e celular dependente dos linfócitos. Este tipo de imunidade é altamente específica e eficiente contra agentes infecciosos, além de possuir memória para reconhecimento de agentes previamente apresentados. As vacinas atuam estimulando a imunidade específica e é por esse motivo que </w:t>
      </w:r>
      <w:r w:rsidRPr="00A602BA">
        <w:rPr>
          <w:rFonts w:ascii="Times New Roman" w:hAnsi="Times New Roman" w:cs="Times New Roman"/>
          <w:color w:val="222222"/>
          <w:sz w:val="28"/>
          <w:szCs w:val="28"/>
        </w:rPr>
        <w:t>a imunização é um dos meios mais eficazes de combate às doenças infecciosas</w:t>
      </w:r>
      <w:r w:rsidRPr="00A602BA">
        <w:rPr>
          <w:rFonts w:ascii="Times New Roman" w:hAnsi="Times New Roman" w:cs="Times New Roman"/>
          <w:sz w:val="28"/>
          <w:szCs w:val="28"/>
        </w:rPr>
        <w:t>.</w:t>
      </w:r>
    </w:p>
    <w:p w:rsidR="000872AB" w:rsidRPr="00A602BA" w:rsidRDefault="000872AB" w:rsidP="00137BE6">
      <w:pPr>
        <w:spacing w:after="0" w:line="240" w:lineRule="auto"/>
        <w:jc w:val="both"/>
        <w:rPr>
          <w:rFonts w:ascii="Times New Roman" w:hAnsi="Times New Roman" w:cs="Times New Roman"/>
          <w:sz w:val="28"/>
          <w:szCs w:val="28"/>
        </w:rPr>
      </w:pPr>
      <w:r w:rsidRPr="00A602BA">
        <w:rPr>
          <w:rFonts w:ascii="Times New Roman" w:hAnsi="Times New Roman" w:cs="Times New Roman"/>
          <w:sz w:val="28"/>
          <w:szCs w:val="28"/>
        </w:rPr>
        <w:tab/>
        <w:t>Os recém nascidos prematuros são imunodeficientes por definição. A imunidade inata é repleta de deficiências. A pele é fina e imatura, incapaz de produzir ácidos graxos. As secreções são pobres em IgA e lisozima. O mecanismo mucociliar é ineficiente e a tosse é fraca. Não é infrequente que utilizem inibidores da bomba de prótons. Os níveis de complemento permanecem baixos até o último trimestre, pois não exi</w:t>
      </w:r>
      <w:r>
        <w:rPr>
          <w:rFonts w:ascii="Times New Roman" w:hAnsi="Times New Roman" w:cs="Times New Roman"/>
          <w:sz w:val="28"/>
          <w:szCs w:val="28"/>
        </w:rPr>
        <w:t xml:space="preserve">ste passagem transplacentária, </w:t>
      </w:r>
      <w:r w:rsidRPr="00A602BA">
        <w:rPr>
          <w:rFonts w:ascii="Times New Roman" w:hAnsi="Times New Roman" w:cs="Times New Roman"/>
          <w:sz w:val="28"/>
          <w:szCs w:val="28"/>
        </w:rPr>
        <w:t>a reserva de neutrófilos equivale a 20% da do RN a termo e são menos deformáveis e os macrófagos são ineficientes na apresentação de antígenos. A imunidade adaptativa também é deficitária pois recebe poucos estímulos da imunidade inata, os linfócitos T tem resposta mais lenta, a produção de IgM e IgG é deficitária, mas em compensação, a imunidade adaptativa responde muito bem ao estímulo com vacinas, mesmo considerando a idade cronológica</w:t>
      </w:r>
      <w:r w:rsidRPr="00A602BA">
        <w:rPr>
          <w:rFonts w:ascii="Times New Roman" w:hAnsi="Times New Roman" w:cs="Times New Roman"/>
          <w:sz w:val="28"/>
          <w:szCs w:val="28"/>
          <w:vertAlign w:val="superscript"/>
        </w:rPr>
        <w:t>3,4,5</w:t>
      </w:r>
      <w:r w:rsidRPr="00A602BA">
        <w:rPr>
          <w:rFonts w:ascii="Times New Roman" w:hAnsi="Times New Roman" w:cs="Times New Roman"/>
          <w:sz w:val="28"/>
          <w:szCs w:val="28"/>
        </w:rPr>
        <w:t xml:space="preserve">. </w:t>
      </w:r>
    </w:p>
    <w:p w:rsidR="000872AB" w:rsidRDefault="000872AB" w:rsidP="00137BE6">
      <w:pPr>
        <w:spacing w:after="0" w:line="240" w:lineRule="auto"/>
        <w:jc w:val="both"/>
        <w:rPr>
          <w:rFonts w:ascii="Times New Roman" w:hAnsi="Times New Roman" w:cs="Times New Roman"/>
          <w:sz w:val="28"/>
          <w:szCs w:val="28"/>
        </w:rPr>
      </w:pPr>
      <w:r w:rsidRPr="00A602BA">
        <w:rPr>
          <w:rFonts w:ascii="Times New Roman" w:hAnsi="Times New Roman" w:cs="Times New Roman"/>
          <w:sz w:val="28"/>
          <w:szCs w:val="28"/>
        </w:rPr>
        <w:tab/>
        <w:t xml:space="preserve">Considerando então a imunodeficiência, que </w:t>
      </w:r>
      <w:r>
        <w:rPr>
          <w:rFonts w:ascii="Times New Roman" w:hAnsi="Times New Roman" w:cs="Times New Roman"/>
          <w:sz w:val="28"/>
          <w:szCs w:val="28"/>
        </w:rPr>
        <w:t xml:space="preserve">é a </w:t>
      </w:r>
      <w:r w:rsidRPr="00A602BA">
        <w:rPr>
          <w:rFonts w:ascii="Times New Roman" w:hAnsi="Times New Roman" w:cs="Times New Roman"/>
          <w:sz w:val="28"/>
          <w:szCs w:val="28"/>
        </w:rPr>
        <w:t xml:space="preserve"> imunidade adaptativa </w:t>
      </w:r>
      <w:r>
        <w:rPr>
          <w:rFonts w:ascii="Times New Roman" w:hAnsi="Times New Roman" w:cs="Times New Roman"/>
          <w:sz w:val="28"/>
          <w:szCs w:val="28"/>
        </w:rPr>
        <w:t>que</w:t>
      </w:r>
      <w:r w:rsidRPr="00A602BA">
        <w:rPr>
          <w:rFonts w:ascii="Times New Roman" w:hAnsi="Times New Roman" w:cs="Times New Roman"/>
          <w:sz w:val="28"/>
          <w:szCs w:val="28"/>
        </w:rPr>
        <w:t xml:space="preserve"> melhor funciona no prematuro e que esta responde bem ao estímulo com vacinas, era de se esperar que os prematuros fossem considerados população prioritária para receber imunizantes. No entanto, na realidade as taxas de atraso vacinal nos prematuros  são surpreendentemente baixas no mundo inteiro,  variando de 30-70%, com tempo de atraso de </w:t>
      </w:r>
      <w:smartTag w:uri="urn:schemas-microsoft-com:office:smarttags" w:element="metricconverter">
        <w:smartTagPr>
          <w:attr w:name="ProductID" w:val="6 a"/>
        </w:smartTagPr>
        <w:r w:rsidRPr="00A602BA">
          <w:rPr>
            <w:rFonts w:ascii="Times New Roman" w:hAnsi="Times New Roman" w:cs="Times New Roman"/>
            <w:sz w:val="28"/>
            <w:szCs w:val="28"/>
          </w:rPr>
          <w:t>6 a</w:t>
        </w:r>
      </w:smartTag>
      <w:r w:rsidRPr="00A602BA">
        <w:rPr>
          <w:rFonts w:ascii="Times New Roman" w:hAnsi="Times New Roman" w:cs="Times New Roman"/>
          <w:sz w:val="28"/>
          <w:szCs w:val="28"/>
        </w:rPr>
        <w:t xml:space="preserve"> 40 semanas para as diferentes vacinas </w:t>
      </w:r>
      <w:r w:rsidRPr="00A602BA">
        <w:rPr>
          <w:rFonts w:ascii="Times New Roman" w:hAnsi="Times New Roman" w:cs="Times New Roman"/>
          <w:sz w:val="28"/>
          <w:szCs w:val="28"/>
          <w:vertAlign w:val="superscript"/>
        </w:rPr>
        <w:t>6,7</w:t>
      </w:r>
      <w:r w:rsidRPr="00A602BA">
        <w:rPr>
          <w:rFonts w:ascii="Times New Roman" w:hAnsi="Times New Roman" w:cs="Times New Roman"/>
          <w:sz w:val="28"/>
          <w:szCs w:val="28"/>
        </w:rPr>
        <w:t xml:space="preserve">. Em 2021 foi realizada uma pesquisa na </w:t>
      </w:r>
      <w:r>
        <w:rPr>
          <w:rFonts w:ascii="Times New Roman" w:hAnsi="Times New Roman" w:cs="Times New Roman"/>
          <w:sz w:val="28"/>
          <w:szCs w:val="28"/>
        </w:rPr>
        <w:t>U</w:t>
      </w:r>
      <w:r w:rsidRPr="00A602BA">
        <w:rPr>
          <w:rFonts w:ascii="Times New Roman" w:hAnsi="Times New Roman" w:cs="Times New Roman"/>
          <w:sz w:val="28"/>
          <w:szCs w:val="28"/>
        </w:rPr>
        <w:t xml:space="preserve">nidade de </w:t>
      </w:r>
      <w:r>
        <w:rPr>
          <w:rFonts w:ascii="Times New Roman" w:hAnsi="Times New Roman" w:cs="Times New Roman"/>
          <w:sz w:val="28"/>
          <w:szCs w:val="28"/>
        </w:rPr>
        <w:t>N</w:t>
      </w:r>
      <w:r w:rsidRPr="00A602BA">
        <w:rPr>
          <w:rFonts w:ascii="Times New Roman" w:hAnsi="Times New Roman" w:cs="Times New Roman"/>
          <w:sz w:val="28"/>
          <w:szCs w:val="28"/>
        </w:rPr>
        <w:t xml:space="preserve">eonatologia do HMIB que mostrou que de 22 prematuros com mais de 60 dias de vida internados na UTI neonatal, apenas um tinha o calendário vacinal completo (4,5%). Em fevereiro de 2022 foi criado um grupo de estudos composto por médicos, enfermeiras e farmacêuticas (incluindo residentes das três áreas) com a finalidade de criar  um protocolo de vacinação na </w:t>
      </w:r>
      <w:r>
        <w:rPr>
          <w:rFonts w:ascii="Times New Roman" w:hAnsi="Times New Roman" w:cs="Times New Roman"/>
          <w:sz w:val="28"/>
          <w:szCs w:val="28"/>
        </w:rPr>
        <w:t>Unidade de Terapia Intensiva Neonatal (</w:t>
      </w:r>
      <w:r w:rsidRPr="00A602BA">
        <w:rPr>
          <w:rFonts w:ascii="Times New Roman" w:hAnsi="Times New Roman" w:cs="Times New Roman"/>
          <w:sz w:val="28"/>
          <w:szCs w:val="28"/>
        </w:rPr>
        <w:t>UTIN</w:t>
      </w:r>
      <w:r>
        <w:rPr>
          <w:rFonts w:ascii="Times New Roman" w:hAnsi="Times New Roman" w:cs="Times New Roman"/>
          <w:sz w:val="28"/>
          <w:szCs w:val="28"/>
        </w:rPr>
        <w:t>)</w:t>
      </w:r>
      <w:r w:rsidRPr="00A602BA">
        <w:rPr>
          <w:rFonts w:ascii="Times New Roman" w:hAnsi="Times New Roman" w:cs="Times New Roman"/>
          <w:sz w:val="28"/>
          <w:szCs w:val="28"/>
        </w:rPr>
        <w:t xml:space="preserve"> e </w:t>
      </w:r>
      <w:r>
        <w:rPr>
          <w:rFonts w:ascii="Times New Roman" w:hAnsi="Times New Roman" w:cs="Times New Roman"/>
          <w:sz w:val="28"/>
          <w:szCs w:val="28"/>
        </w:rPr>
        <w:t>Unidade de Cuidado Intensivo (</w:t>
      </w:r>
      <w:r w:rsidRPr="00A602BA">
        <w:rPr>
          <w:rFonts w:ascii="Times New Roman" w:hAnsi="Times New Roman" w:cs="Times New Roman"/>
          <w:sz w:val="28"/>
          <w:szCs w:val="28"/>
        </w:rPr>
        <w:t>UCIN</w:t>
      </w:r>
      <w:r>
        <w:rPr>
          <w:rFonts w:ascii="Times New Roman" w:hAnsi="Times New Roman" w:cs="Times New Roman"/>
          <w:sz w:val="28"/>
          <w:szCs w:val="28"/>
        </w:rPr>
        <w:t>)</w:t>
      </w:r>
      <w:r w:rsidRPr="00A602BA">
        <w:rPr>
          <w:rFonts w:ascii="Times New Roman" w:hAnsi="Times New Roman" w:cs="Times New Roman"/>
          <w:sz w:val="28"/>
          <w:szCs w:val="28"/>
        </w:rPr>
        <w:t xml:space="preserve"> e que resultou no protocolo aqui apresentado, esquematizado abaixo: </w:t>
      </w:r>
    </w:p>
    <w:p w:rsidR="000872AB" w:rsidRDefault="000872AB" w:rsidP="00137BE6">
      <w:pPr>
        <w:spacing w:after="0" w:line="240" w:lineRule="auto"/>
        <w:jc w:val="both"/>
        <w:rPr>
          <w:rFonts w:ascii="Times New Roman" w:hAnsi="Times New Roman" w:cs="Times New Roman"/>
          <w:sz w:val="28"/>
          <w:szCs w:val="28"/>
        </w:rPr>
      </w:pPr>
    </w:p>
    <w:p w:rsidR="000872AB" w:rsidRDefault="000872AB" w:rsidP="00137BE6">
      <w:pPr>
        <w:spacing w:after="0" w:line="240" w:lineRule="auto"/>
        <w:jc w:val="both"/>
        <w:rPr>
          <w:rFonts w:ascii="Times New Roman" w:hAnsi="Times New Roman" w:cs="Times New Roman"/>
          <w:sz w:val="28"/>
          <w:szCs w:val="28"/>
        </w:rPr>
      </w:pPr>
    </w:p>
    <w:p w:rsidR="000872AB" w:rsidRDefault="000872AB" w:rsidP="00137BE6">
      <w:pPr>
        <w:spacing w:after="0" w:line="240" w:lineRule="auto"/>
        <w:jc w:val="both"/>
        <w:rPr>
          <w:rFonts w:ascii="Times New Roman" w:hAnsi="Times New Roman" w:cs="Times New Roman"/>
          <w:sz w:val="28"/>
          <w:szCs w:val="28"/>
        </w:rPr>
      </w:pPr>
    </w:p>
    <w:p w:rsidR="000872AB" w:rsidRDefault="000872AB" w:rsidP="00137BE6">
      <w:pPr>
        <w:spacing w:after="0" w:line="240" w:lineRule="auto"/>
        <w:jc w:val="both"/>
        <w:rPr>
          <w:rFonts w:ascii="Times New Roman" w:hAnsi="Times New Roman" w:cs="Times New Roman"/>
          <w:sz w:val="28"/>
          <w:szCs w:val="28"/>
        </w:rPr>
      </w:pPr>
    </w:p>
    <w:p w:rsidR="000872AB" w:rsidRDefault="000872AB" w:rsidP="00137BE6">
      <w:pPr>
        <w:spacing w:after="0" w:line="240" w:lineRule="auto"/>
        <w:jc w:val="both"/>
        <w:rPr>
          <w:rFonts w:ascii="Times New Roman" w:hAnsi="Times New Roman" w:cs="Times New Roman"/>
          <w:sz w:val="28"/>
          <w:szCs w:val="28"/>
        </w:rPr>
      </w:pPr>
    </w:p>
    <w:p w:rsidR="000872AB" w:rsidRPr="00116598" w:rsidRDefault="000872AB" w:rsidP="00A602BA">
      <w:pPr>
        <w:jc w:val="center"/>
        <w:rPr>
          <w:rFonts w:ascii="Algerian" w:hAnsi="Algerian" w:cs="Arial"/>
          <w:b/>
          <w:color w:val="FF00FF"/>
          <w:sz w:val="40"/>
          <w:szCs w:val="40"/>
        </w:rPr>
      </w:pPr>
      <w:r w:rsidRPr="00116598">
        <w:rPr>
          <w:rFonts w:ascii="Algerian" w:hAnsi="Algerian" w:cs="Arial"/>
          <w:b/>
          <w:color w:val="FF00FF"/>
          <w:sz w:val="40"/>
          <w:szCs w:val="40"/>
        </w:rPr>
        <w:t>VACINAS A SEREM Aplicadas</w:t>
      </w:r>
    </w:p>
    <w:p w:rsidR="000872AB" w:rsidRDefault="000872AB" w:rsidP="00A602BA">
      <w:pPr>
        <w:jc w:val="center"/>
        <w:rPr>
          <w:rFonts w:ascii="Algerian" w:hAnsi="Algerian" w:cs="Arial"/>
          <w:color w:val="FF00FF"/>
          <w:sz w:val="40"/>
          <w:szCs w:val="40"/>
        </w:rPr>
      </w:pPr>
    </w:p>
    <w:p w:rsidR="000872AB" w:rsidRDefault="000872AB" w:rsidP="00A602BA">
      <w:pPr>
        <w:jc w:val="center"/>
        <w:rPr>
          <w:rFonts w:ascii="Algerian" w:hAnsi="Algerian" w:cs="Arial"/>
          <w:color w:val="FF00FF"/>
          <w:sz w:val="40"/>
          <w:szCs w:val="40"/>
        </w:rPr>
      </w:pPr>
      <w:r>
        <w:rPr>
          <w:rFonts w:ascii="Arial" w:hAnsi="Arial" w:cs="Arial"/>
          <w:color w:val="000000"/>
          <w:bdr w:val="none" w:sz="0" w:space="0" w:color="auto" w:frame="1"/>
        </w:rPr>
        <w:fldChar w:fldCharType="begin"/>
      </w:r>
      <w:r>
        <w:rPr>
          <w:rFonts w:ascii="Arial" w:hAnsi="Arial" w:cs="Arial"/>
          <w:color w:val="000000"/>
          <w:bdr w:val="none" w:sz="0" w:space="0" w:color="auto" w:frame="1"/>
        </w:rPr>
        <w:instrText xml:space="preserve"> INCLUDEPICTURE "https://lh3.googleusercontent.com/6Cg9yr3j_kgk_o5YBm7pkVCI--gHdM3oI6xuFlBvEZOx08vt40rHq8AgW3BDV83Lb1DmLBsn97dQi4dAC0qWQjVOhG-ZVhIv2n6mBUgPeex07Nl64ZPwxFWEO8AZ3cn7ros6fB5qB6TxIbzfguUd4w" \* MERGEFORMATINET </w:instrText>
      </w:r>
      <w:r>
        <w:rPr>
          <w:rFonts w:ascii="Arial" w:hAnsi="Arial" w:cs="Arial"/>
          <w:color w:val="000000"/>
          <w:bdr w:val="none" w:sz="0" w:space="0" w:color="auto" w:frame="1"/>
        </w:rPr>
        <w:fldChar w:fldCharType="separate"/>
      </w:r>
      <w:r>
        <w:rPr>
          <w:rFonts w:ascii="Arial" w:hAnsi="Arial" w:cs="Arial"/>
          <w:color w:val="000000"/>
          <w:bdr w:val="none" w:sz="0" w:space="0" w:color="auto" w:frame="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97.5pt;height:693pt">
            <v:imagedata r:id="rId6" r:href="rId7"/>
          </v:shape>
        </w:pict>
      </w:r>
      <w:r>
        <w:rPr>
          <w:rFonts w:ascii="Arial" w:hAnsi="Arial" w:cs="Arial"/>
          <w:color w:val="000000"/>
          <w:bdr w:val="none" w:sz="0" w:space="0" w:color="auto" w:frame="1"/>
        </w:rPr>
        <w:fldChar w:fldCharType="end"/>
      </w:r>
    </w:p>
    <w:p w:rsidR="000872AB" w:rsidRPr="00D4240A" w:rsidRDefault="000872AB" w:rsidP="00A602BA">
      <w:pPr>
        <w:jc w:val="center"/>
        <w:rPr>
          <w:rFonts w:ascii="Algerian" w:hAnsi="Algerian" w:cs="Arial"/>
          <w:color w:val="FF00FF"/>
          <w:sz w:val="40"/>
          <w:szCs w:val="40"/>
        </w:rPr>
      </w:pPr>
    </w:p>
    <w:p w:rsidR="000872AB" w:rsidRDefault="000872AB" w:rsidP="00A602BA">
      <w:pPr>
        <w:jc w:val="center"/>
        <w:rPr>
          <w:rFonts w:ascii="Algerian" w:hAnsi="Algerian" w:cs="Arial"/>
          <w:color w:val="FF00FF"/>
          <w:sz w:val="40"/>
          <w:szCs w:val="40"/>
        </w:rPr>
      </w:pPr>
    </w:p>
    <w:p w:rsidR="000872AB" w:rsidRPr="00A602BA" w:rsidRDefault="000872AB">
      <w:pPr>
        <w:jc w:val="center"/>
        <w:rPr>
          <w:rFonts w:ascii="Algerian" w:hAnsi="Algerian" w:cs="Arial"/>
          <w:b/>
          <w:color w:val="FF00FF"/>
          <w:sz w:val="36"/>
          <w:szCs w:val="36"/>
        </w:rPr>
      </w:pPr>
      <w:r w:rsidRPr="00A602BA">
        <w:rPr>
          <w:rFonts w:ascii="Algerian" w:hAnsi="Algerian" w:cs="Arial"/>
          <w:b/>
          <w:color w:val="FF00FF"/>
          <w:sz w:val="36"/>
          <w:szCs w:val="36"/>
        </w:rPr>
        <w:t>Funções dos</w:t>
      </w:r>
      <w:r w:rsidRPr="00967E8C">
        <w:rPr>
          <w:rFonts w:ascii="Algerian" w:hAnsi="Algerian" w:cs="Arial"/>
          <w:b/>
          <w:color w:val="FF00FF"/>
          <w:sz w:val="36"/>
          <w:szCs w:val="36"/>
        </w:rPr>
        <w:t xml:space="preserve"> prescritores</w:t>
      </w:r>
      <w:r w:rsidRPr="00A602BA">
        <w:rPr>
          <w:rFonts w:ascii="Algerian" w:hAnsi="Algerian" w:cs="Arial"/>
          <w:b/>
          <w:color w:val="FF00FF"/>
          <w:sz w:val="36"/>
          <w:szCs w:val="36"/>
        </w:rPr>
        <w:t xml:space="preserve"> (médicos)</w:t>
      </w:r>
    </w:p>
    <w:p w:rsidR="000872AB" w:rsidRPr="00A602BA" w:rsidRDefault="000872AB" w:rsidP="00223093">
      <w:pPr>
        <w:jc w:val="center"/>
        <w:rPr>
          <w:rFonts w:ascii="Arial" w:hAnsi="Arial" w:cs="Arial"/>
          <w:sz w:val="28"/>
          <w:szCs w:val="28"/>
        </w:rPr>
      </w:pPr>
      <w:r w:rsidRPr="00234836">
        <w:rPr>
          <w:rFonts w:ascii="Algerian" w:hAnsi="Algerian" w:cs="Arial"/>
          <w:noProof/>
          <w:color w:val="FF00FF"/>
          <w:sz w:val="28"/>
          <w:szCs w:val="28"/>
        </w:rPr>
        <w:pict>
          <v:shape id="image3.png" o:spid="_x0000_i1026" type="#_x0000_t75" style="width:382.5pt;height:9in;visibility:visible">
            <v:imagedata r:id="rId8" o:title=""/>
          </v:shape>
        </w:pict>
      </w:r>
    </w:p>
    <w:p w:rsidR="000872AB" w:rsidRDefault="000872AB">
      <w:pPr>
        <w:jc w:val="center"/>
        <w:rPr>
          <w:rFonts w:ascii="Arial" w:hAnsi="Arial" w:cs="Arial"/>
          <w:b/>
          <w:sz w:val="32"/>
          <w:szCs w:val="32"/>
        </w:rPr>
      </w:pPr>
    </w:p>
    <w:p w:rsidR="000872AB" w:rsidRPr="00A602BA" w:rsidRDefault="000872AB">
      <w:pPr>
        <w:jc w:val="center"/>
        <w:rPr>
          <w:rFonts w:ascii="Algerian" w:hAnsi="Algerian" w:cs="Arial"/>
          <w:b/>
          <w:color w:val="FF00FF"/>
          <w:sz w:val="36"/>
          <w:szCs w:val="36"/>
        </w:rPr>
      </w:pPr>
      <w:r w:rsidRPr="00A602BA">
        <w:rPr>
          <w:rFonts w:ascii="Algerian" w:hAnsi="Algerian" w:cs="Arial"/>
          <w:b/>
          <w:color w:val="FF00FF"/>
          <w:sz w:val="36"/>
          <w:szCs w:val="36"/>
        </w:rPr>
        <w:t>Prescrição das vacinas e efeitos adversos a serem monitorados</w:t>
      </w:r>
    </w:p>
    <w:p w:rsidR="000872AB" w:rsidRDefault="000872AB" w:rsidP="00223093">
      <w:pPr>
        <w:jc w:val="center"/>
        <w:rPr>
          <w:rFonts w:ascii="Arial" w:hAnsi="Arial" w:cs="Arial"/>
          <w:sz w:val="24"/>
          <w:szCs w:val="24"/>
        </w:rPr>
      </w:pPr>
      <w:r w:rsidRPr="00234836">
        <w:rPr>
          <w:rFonts w:ascii="Algerian" w:hAnsi="Algerian" w:cs="Arial"/>
          <w:noProof/>
          <w:color w:val="FF00FF"/>
          <w:sz w:val="36"/>
          <w:szCs w:val="36"/>
        </w:rPr>
        <w:pict>
          <v:shape id="image4.png" o:spid="_x0000_i1027" type="#_x0000_t75" style="width:343.5pt;height:660.75pt;visibility:visible">
            <v:imagedata r:id="rId9" o:title=""/>
          </v:shape>
        </w:pict>
      </w:r>
    </w:p>
    <w:p w:rsidR="000872AB" w:rsidRDefault="000872AB">
      <w:pPr>
        <w:jc w:val="center"/>
        <w:rPr>
          <w:rFonts w:ascii="Arial" w:hAnsi="Arial" w:cs="Arial"/>
          <w:b/>
          <w:sz w:val="24"/>
          <w:szCs w:val="24"/>
        </w:rPr>
      </w:pPr>
    </w:p>
    <w:p w:rsidR="000872AB" w:rsidRDefault="000872AB">
      <w:pPr>
        <w:jc w:val="center"/>
        <w:rPr>
          <w:rFonts w:ascii="Arial" w:hAnsi="Arial" w:cs="Arial"/>
          <w:b/>
          <w:sz w:val="24"/>
          <w:szCs w:val="24"/>
        </w:rPr>
      </w:pPr>
    </w:p>
    <w:p w:rsidR="000872AB" w:rsidRPr="00A602BA" w:rsidRDefault="000872AB">
      <w:pPr>
        <w:jc w:val="center"/>
        <w:rPr>
          <w:rFonts w:ascii="Algerian" w:hAnsi="Algerian" w:cs="Arial"/>
          <w:b/>
          <w:color w:val="FF00FF"/>
          <w:sz w:val="36"/>
          <w:szCs w:val="36"/>
        </w:rPr>
      </w:pPr>
      <w:r w:rsidRPr="00A602BA">
        <w:rPr>
          <w:rFonts w:ascii="Algerian" w:hAnsi="Algerian" w:cs="Arial"/>
          <w:b/>
          <w:color w:val="FF00FF"/>
          <w:sz w:val="36"/>
          <w:szCs w:val="36"/>
        </w:rPr>
        <w:t xml:space="preserve">Funções da equipe de enfermagem </w:t>
      </w:r>
    </w:p>
    <w:p w:rsidR="000872AB" w:rsidRPr="009F4C8E" w:rsidRDefault="000872AB">
      <w:pPr>
        <w:jc w:val="center"/>
        <w:rPr>
          <w:rFonts w:ascii="Arial" w:hAnsi="Arial" w:cs="Arial"/>
          <w:b/>
          <w:sz w:val="24"/>
          <w:szCs w:val="24"/>
        </w:rPr>
      </w:pPr>
    </w:p>
    <w:p w:rsidR="000872AB" w:rsidRDefault="000872AB">
      <w:pPr>
        <w:jc w:val="center"/>
        <w:rPr>
          <w:rFonts w:ascii="Arial" w:hAnsi="Arial" w:cs="Arial"/>
          <w:sz w:val="24"/>
          <w:szCs w:val="24"/>
        </w:rPr>
      </w:pPr>
      <w:r w:rsidRPr="00234836">
        <w:rPr>
          <w:rFonts w:ascii="Arial" w:hAnsi="Arial" w:cs="Arial"/>
          <w:noProof/>
          <w:sz w:val="24"/>
          <w:szCs w:val="24"/>
        </w:rPr>
        <w:pict>
          <v:shape id="image6.png" o:spid="_x0000_i1028" type="#_x0000_t75" style="width:420pt;height:630pt;visibility:visible">
            <v:imagedata r:id="rId10" o:title=""/>
          </v:shape>
        </w:pict>
      </w:r>
    </w:p>
    <w:p w:rsidR="000872AB" w:rsidRDefault="000872AB">
      <w:pPr>
        <w:rPr>
          <w:rFonts w:ascii="Arial" w:hAnsi="Arial" w:cs="Arial"/>
          <w:b/>
          <w:sz w:val="24"/>
          <w:szCs w:val="24"/>
        </w:rPr>
      </w:pPr>
    </w:p>
    <w:p w:rsidR="000872AB" w:rsidRDefault="000872AB">
      <w:pPr>
        <w:jc w:val="center"/>
        <w:rPr>
          <w:rFonts w:ascii="Arial" w:hAnsi="Arial" w:cs="Arial"/>
          <w:b/>
          <w:sz w:val="38"/>
          <w:szCs w:val="38"/>
        </w:rPr>
      </w:pPr>
    </w:p>
    <w:p w:rsidR="000872AB" w:rsidRPr="00A602BA" w:rsidRDefault="000872AB">
      <w:pPr>
        <w:jc w:val="center"/>
        <w:rPr>
          <w:rFonts w:ascii="Algerian" w:hAnsi="Algerian" w:cs="Arial"/>
          <w:b/>
          <w:color w:val="FF00FF"/>
          <w:sz w:val="36"/>
          <w:szCs w:val="36"/>
        </w:rPr>
      </w:pPr>
      <w:r w:rsidRPr="00A602BA">
        <w:rPr>
          <w:rFonts w:ascii="Algerian" w:hAnsi="Algerian" w:cs="Arial"/>
          <w:b/>
          <w:color w:val="FF00FF"/>
          <w:sz w:val="36"/>
          <w:szCs w:val="36"/>
        </w:rPr>
        <w:t>Funções da equipe de enfermagem na UCIN Canguru</w:t>
      </w:r>
    </w:p>
    <w:p w:rsidR="000872AB" w:rsidRDefault="000872AB">
      <w:pPr>
        <w:jc w:val="center"/>
        <w:rPr>
          <w:rFonts w:ascii="Arial" w:hAnsi="Arial" w:cs="Arial"/>
          <w:b/>
          <w:sz w:val="26"/>
          <w:szCs w:val="26"/>
        </w:rPr>
      </w:pPr>
      <w:r w:rsidRPr="00234836">
        <w:rPr>
          <w:rFonts w:ascii="Arial" w:hAnsi="Arial" w:cs="Arial"/>
          <w:b/>
          <w:noProof/>
          <w:sz w:val="26"/>
          <w:szCs w:val="26"/>
        </w:rPr>
        <w:pict>
          <v:shape id="image5.jpg" o:spid="_x0000_i1029" type="#_x0000_t75" style="width:330pt;height:8in;visibility:visible">
            <v:imagedata r:id="rId11" o:title=""/>
          </v:shape>
        </w:pict>
      </w:r>
    </w:p>
    <w:p w:rsidR="000872AB" w:rsidRDefault="000872AB">
      <w:pPr>
        <w:jc w:val="center"/>
        <w:rPr>
          <w:rFonts w:ascii="Arial" w:hAnsi="Arial" w:cs="Arial"/>
          <w:b/>
          <w:sz w:val="26"/>
          <w:szCs w:val="26"/>
        </w:rPr>
      </w:pPr>
    </w:p>
    <w:p w:rsidR="000872AB" w:rsidRDefault="000872AB">
      <w:pPr>
        <w:jc w:val="center"/>
        <w:rPr>
          <w:rFonts w:ascii="Arial" w:hAnsi="Arial" w:cs="Arial"/>
          <w:b/>
          <w:sz w:val="26"/>
          <w:szCs w:val="26"/>
        </w:rPr>
      </w:pPr>
    </w:p>
    <w:p w:rsidR="000872AB" w:rsidRDefault="000872AB">
      <w:pPr>
        <w:jc w:val="center"/>
        <w:rPr>
          <w:rFonts w:ascii="Arial" w:hAnsi="Arial" w:cs="Arial"/>
          <w:b/>
          <w:sz w:val="26"/>
          <w:szCs w:val="26"/>
        </w:rPr>
      </w:pPr>
    </w:p>
    <w:p w:rsidR="000872AB" w:rsidRDefault="000872AB">
      <w:pPr>
        <w:jc w:val="center"/>
        <w:rPr>
          <w:rFonts w:ascii="Arial" w:hAnsi="Arial" w:cs="Arial"/>
          <w:b/>
          <w:sz w:val="26"/>
          <w:szCs w:val="26"/>
        </w:rPr>
      </w:pPr>
    </w:p>
    <w:p w:rsidR="000872AB" w:rsidRPr="00A602BA" w:rsidRDefault="000872AB">
      <w:pPr>
        <w:jc w:val="center"/>
        <w:rPr>
          <w:rFonts w:ascii="Algerian" w:hAnsi="Algerian" w:cs="Arial"/>
          <w:b/>
          <w:color w:val="FF00FF"/>
          <w:sz w:val="36"/>
          <w:szCs w:val="36"/>
        </w:rPr>
      </w:pPr>
      <w:r w:rsidRPr="00A602BA">
        <w:rPr>
          <w:rFonts w:ascii="Algerian" w:hAnsi="Algerian" w:cs="Arial"/>
          <w:b/>
          <w:color w:val="FF00FF"/>
          <w:sz w:val="36"/>
          <w:szCs w:val="36"/>
        </w:rPr>
        <w:t>Folha de orientações antes da alta da UCIN externa</w:t>
      </w:r>
    </w:p>
    <w:p w:rsidR="000872AB" w:rsidRDefault="000872AB">
      <w:pPr>
        <w:jc w:val="center"/>
        <w:rPr>
          <w:rFonts w:ascii="Arial" w:hAnsi="Arial" w:cs="Arial"/>
          <w:b/>
          <w:sz w:val="40"/>
          <w:szCs w:val="40"/>
        </w:rPr>
      </w:pPr>
      <w:r>
        <w:rPr>
          <w:rFonts w:ascii="Arial Unicode MS" w:eastAsia="Arial Unicode MS" w:hAnsi="Arial Unicode MS" w:cs="Arial Unicode MS" w:hint="eastAsia"/>
          <w:b/>
          <w:sz w:val="40"/>
          <w:szCs w:val="40"/>
        </w:rPr>
        <w:t>⇓</w:t>
      </w:r>
    </w:p>
    <w:p w:rsidR="000872AB" w:rsidRDefault="000872AB">
      <w:pPr>
        <w:ind w:hanging="708"/>
        <w:jc w:val="center"/>
        <w:rPr>
          <w:rFonts w:ascii="Arial" w:hAnsi="Arial" w:cs="Arial"/>
          <w:sz w:val="24"/>
          <w:szCs w:val="24"/>
        </w:rPr>
      </w:pPr>
      <w:r w:rsidRPr="00234836">
        <w:rPr>
          <w:rFonts w:ascii="Arial" w:hAnsi="Arial" w:cs="Arial"/>
          <w:noProof/>
          <w:sz w:val="24"/>
          <w:szCs w:val="24"/>
        </w:rPr>
        <w:pict>
          <v:shape id="image1.png" o:spid="_x0000_i1030" type="#_x0000_t75" style="width:510pt;height:567pt;visibility:visible">
            <v:imagedata r:id="rId12" o:title=""/>
          </v:shape>
        </w:pict>
      </w:r>
    </w:p>
    <w:p w:rsidR="000872AB" w:rsidRDefault="000872AB">
      <w:pPr>
        <w:rPr>
          <w:rFonts w:ascii="Arial" w:hAnsi="Arial" w:cs="Arial"/>
          <w:sz w:val="24"/>
          <w:szCs w:val="24"/>
        </w:rPr>
      </w:pPr>
    </w:p>
    <w:p w:rsidR="000872AB" w:rsidRDefault="000872AB">
      <w:pPr>
        <w:rPr>
          <w:rFonts w:ascii="Arial" w:hAnsi="Arial" w:cs="Arial"/>
          <w:sz w:val="24"/>
          <w:szCs w:val="24"/>
        </w:rPr>
      </w:pPr>
    </w:p>
    <w:p w:rsidR="000872AB" w:rsidRDefault="000872AB">
      <w:pPr>
        <w:rPr>
          <w:rFonts w:ascii="Arial" w:hAnsi="Arial" w:cs="Arial"/>
          <w:sz w:val="24"/>
          <w:szCs w:val="24"/>
        </w:rPr>
      </w:pPr>
    </w:p>
    <w:p w:rsidR="000872AB" w:rsidRDefault="000872AB">
      <w:pPr>
        <w:rPr>
          <w:rFonts w:ascii="Arial" w:hAnsi="Arial" w:cs="Arial"/>
          <w:sz w:val="24"/>
          <w:szCs w:val="24"/>
        </w:rPr>
      </w:pPr>
    </w:p>
    <w:p w:rsidR="000872AB" w:rsidRDefault="000872AB">
      <w:pPr>
        <w:jc w:val="center"/>
        <w:rPr>
          <w:rFonts w:ascii="Arial" w:hAnsi="Arial" w:cs="Arial"/>
          <w:b/>
          <w:sz w:val="28"/>
          <w:szCs w:val="28"/>
        </w:rPr>
      </w:pPr>
    </w:p>
    <w:p w:rsidR="000872AB" w:rsidRPr="00A602BA" w:rsidRDefault="000872AB">
      <w:pPr>
        <w:jc w:val="center"/>
        <w:rPr>
          <w:rFonts w:ascii="Algerian" w:hAnsi="Algerian" w:cs="Arial"/>
          <w:b/>
          <w:color w:val="FF00FF"/>
          <w:sz w:val="36"/>
          <w:szCs w:val="36"/>
        </w:rPr>
      </w:pPr>
      <w:r w:rsidRPr="00A602BA">
        <w:rPr>
          <w:rFonts w:ascii="Algerian" w:hAnsi="Algerian" w:cs="Arial"/>
          <w:b/>
          <w:color w:val="FF00FF"/>
          <w:sz w:val="36"/>
          <w:szCs w:val="36"/>
        </w:rPr>
        <w:t>Folheto de orientação de alta para os pais</w:t>
      </w:r>
    </w:p>
    <w:p w:rsidR="000872AB" w:rsidRDefault="000872AB">
      <w:pPr>
        <w:jc w:val="center"/>
        <w:rPr>
          <w:rFonts w:ascii="Arial" w:hAnsi="Arial" w:cs="Arial"/>
          <w:sz w:val="36"/>
          <w:szCs w:val="36"/>
        </w:rPr>
      </w:pPr>
      <w:r>
        <w:rPr>
          <w:rFonts w:ascii="Arial Unicode MS" w:eastAsia="Arial Unicode MS" w:hAnsi="Arial Unicode MS" w:cs="Arial Unicode MS" w:hint="eastAsia"/>
          <w:b/>
          <w:sz w:val="36"/>
          <w:szCs w:val="36"/>
        </w:rPr>
        <w:t>⇓</w:t>
      </w:r>
    </w:p>
    <w:p w:rsidR="000872AB" w:rsidRDefault="000872AB">
      <w:pPr>
        <w:rPr>
          <w:rFonts w:ascii="Arial" w:hAnsi="Arial" w:cs="Arial"/>
          <w:sz w:val="24"/>
          <w:szCs w:val="24"/>
        </w:rPr>
      </w:pPr>
      <w:r w:rsidRPr="00234836">
        <w:rPr>
          <w:rFonts w:ascii="Arial" w:hAnsi="Arial" w:cs="Arial"/>
          <w:noProof/>
          <w:sz w:val="24"/>
          <w:szCs w:val="24"/>
        </w:rPr>
        <w:pict>
          <v:shape id="image2.png" o:spid="_x0000_i1031" type="#_x0000_t75" style="width:465pt;height:604.5pt;visibility:visible">
            <v:imagedata r:id="rId13" o:title=""/>
          </v:shape>
        </w:pict>
      </w:r>
    </w:p>
    <w:p w:rsidR="000872AB" w:rsidRDefault="000872AB">
      <w:pPr>
        <w:rPr>
          <w:rFonts w:ascii="Arial" w:hAnsi="Arial" w:cs="Arial"/>
          <w:sz w:val="24"/>
          <w:szCs w:val="24"/>
        </w:rPr>
      </w:pPr>
      <w:r w:rsidRPr="00234836">
        <w:rPr>
          <w:rFonts w:ascii="Arial" w:hAnsi="Arial" w:cs="Arial"/>
          <w:noProof/>
          <w:sz w:val="24"/>
          <w:szCs w:val="24"/>
        </w:rPr>
        <w:pict>
          <v:shape id="image8.png" o:spid="_x0000_i1032" type="#_x0000_t75" style="width:435pt;height:339pt;visibility:visible">
            <v:imagedata r:id="rId14" o:title=""/>
          </v:shape>
        </w:pict>
      </w:r>
    </w:p>
    <w:p w:rsidR="000872AB" w:rsidRDefault="000872AB">
      <w:pPr>
        <w:rPr>
          <w:rFonts w:ascii="Arial" w:hAnsi="Arial" w:cs="Arial"/>
          <w:sz w:val="24"/>
          <w:szCs w:val="24"/>
        </w:rPr>
      </w:pPr>
    </w:p>
    <w:p w:rsidR="000872AB" w:rsidRPr="00A602BA" w:rsidRDefault="000872AB" w:rsidP="00A602BA">
      <w:pPr>
        <w:ind w:right="720"/>
        <w:rPr>
          <w:rFonts w:ascii="Algerian" w:hAnsi="Algerian" w:cs="Arial"/>
          <w:color w:val="FF00FF"/>
          <w:sz w:val="36"/>
          <w:szCs w:val="36"/>
        </w:rPr>
      </w:pPr>
      <w:r>
        <w:rPr>
          <w:rFonts w:ascii="Algerian" w:hAnsi="Algerian" w:cs="Arial"/>
          <w:color w:val="FF00FF"/>
          <w:sz w:val="36"/>
          <w:szCs w:val="36"/>
        </w:rPr>
        <w:t xml:space="preserve">                         </w:t>
      </w:r>
      <w:r w:rsidRPr="00A602BA">
        <w:rPr>
          <w:rFonts w:ascii="Algerian" w:hAnsi="Algerian" w:cs="Arial"/>
          <w:color w:val="FF00FF"/>
          <w:sz w:val="36"/>
          <w:szCs w:val="36"/>
        </w:rPr>
        <w:t>Referências bibliográficas</w:t>
      </w:r>
    </w:p>
    <w:p w:rsidR="000872AB" w:rsidRDefault="000872AB">
      <w:pPr>
        <w:numPr>
          <w:ilvl w:val="0"/>
          <w:numId w:val="1"/>
        </w:numPr>
        <w:spacing w:after="0"/>
        <w:rPr>
          <w:rFonts w:ascii="Arial" w:hAnsi="Arial" w:cs="Arial"/>
          <w:color w:val="000000"/>
          <w:sz w:val="24"/>
          <w:szCs w:val="24"/>
        </w:rPr>
      </w:pPr>
      <w:r>
        <w:rPr>
          <w:rFonts w:ascii="Arial" w:hAnsi="Arial" w:cs="Arial"/>
          <w:color w:val="212121"/>
          <w:sz w:val="24"/>
          <w:szCs w:val="24"/>
          <w:highlight w:val="white"/>
        </w:rPr>
        <w:t xml:space="preserve">Yu JC, Khodadadi H, Malik A, Davidson B, Salles ÉDSL, Bhatia J, Hale VL, Baban B. Innate Immunity of Neonates and Infants. Front Immunol. </w:t>
      </w:r>
      <w:r w:rsidRPr="00967E8C">
        <w:rPr>
          <w:rFonts w:ascii="Arial" w:hAnsi="Arial" w:cs="Arial"/>
          <w:color w:val="212121"/>
          <w:sz w:val="24"/>
          <w:szCs w:val="24"/>
          <w:highlight w:val="white"/>
        </w:rPr>
        <w:t>2018 Jul 30;9:1759</w:t>
      </w:r>
    </w:p>
    <w:p w:rsidR="000872AB" w:rsidRDefault="000872AB">
      <w:pPr>
        <w:spacing w:after="0"/>
        <w:ind w:left="720"/>
        <w:rPr>
          <w:rFonts w:ascii="Arial" w:hAnsi="Arial" w:cs="Arial"/>
          <w:color w:val="000000"/>
          <w:sz w:val="24"/>
          <w:szCs w:val="24"/>
        </w:rPr>
      </w:pPr>
    </w:p>
    <w:p w:rsidR="000872AB" w:rsidRDefault="000872AB">
      <w:pPr>
        <w:numPr>
          <w:ilvl w:val="0"/>
          <w:numId w:val="1"/>
        </w:numPr>
        <w:spacing w:after="0"/>
        <w:rPr>
          <w:rFonts w:ascii="Arial" w:hAnsi="Arial" w:cs="Arial"/>
          <w:color w:val="000000"/>
          <w:sz w:val="24"/>
          <w:szCs w:val="24"/>
        </w:rPr>
      </w:pPr>
      <w:r w:rsidRPr="00A602BA">
        <w:rPr>
          <w:rFonts w:ascii="Arial" w:hAnsi="Arial" w:cs="Arial"/>
          <w:color w:val="212121"/>
          <w:sz w:val="24"/>
          <w:szCs w:val="24"/>
          <w:highlight w:val="white"/>
          <w:lang w:val="it-IT"/>
        </w:rPr>
        <w:t xml:space="preserve">Mussi-Pinhata MM, Rego MA. </w:t>
      </w:r>
      <w:r>
        <w:rPr>
          <w:rFonts w:ascii="Arial" w:hAnsi="Arial" w:cs="Arial"/>
          <w:color w:val="212121"/>
          <w:sz w:val="24"/>
          <w:szCs w:val="24"/>
          <w:highlight w:val="white"/>
        </w:rPr>
        <w:t>Particularidades imunológicas do pré-termo extremo: um desafio para a prevenção da sepse hospitalar . J Pediatr (Rio J). 2005 Mar;81(1 Suppl):S59-68.</w:t>
      </w:r>
      <w:r>
        <w:rPr>
          <w:rFonts w:ascii="Quattrocento Sans" w:hAnsi="Quattrocento Sans" w:cs="Quattrocento Sans"/>
          <w:color w:val="212121"/>
          <w:highlight w:val="white"/>
        </w:rPr>
        <w:t xml:space="preserve"> </w:t>
      </w:r>
    </w:p>
    <w:p w:rsidR="000872AB" w:rsidRDefault="000872AB">
      <w:pPr>
        <w:spacing w:after="0"/>
        <w:ind w:left="720"/>
        <w:rPr>
          <w:rFonts w:ascii="Quattrocento Sans" w:hAnsi="Quattrocento Sans" w:cs="Quattrocento Sans"/>
          <w:color w:val="212121"/>
          <w:highlight w:val="white"/>
        </w:rPr>
      </w:pPr>
    </w:p>
    <w:p w:rsidR="000872AB" w:rsidRDefault="000872AB">
      <w:pPr>
        <w:numPr>
          <w:ilvl w:val="0"/>
          <w:numId w:val="1"/>
        </w:numPr>
        <w:spacing w:after="0"/>
        <w:rPr>
          <w:rFonts w:ascii="Arial" w:hAnsi="Arial" w:cs="Arial"/>
          <w:color w:val="000000"/>
          <w:sz w:val="24"/>
          <w:szCs w:val="24"/>
        </w:rPr>
      </w:pPr>
      <w:r>
        <w:rPr>
          <w:rFonts w:ascii="Quattrocento Sans" w:hAnsi="Quattrocento Sans" w:cs="Quattrocento Sans"/>
          <w:color w:val="212121"/>
          <w:highlight w:val="white"/>
        </w:rPr>
        <w:t>Garcia AM, Fadel SA, Cao S, Sarzotti M. T cell immunity in neonates. Immunol Res. 2000;22(2-3):177-90.</w:t>
      </w:r>
    </w:p>
    <w:p w:rsidR="000872AB" w:rsidRDefault="000872AB">
      <w:pPr>
        <w:spacing w:after="0"/>
        <w:ind w:left="720"/>
        <w:rPr>
          <w:rFonts w:ascii="Quattrocento Sans" w:hAnsi="Quattrocento Sans" w:cs="Quattrocento Sans"/>
          <w:color w:val="212121"/>
          <w:highlight w:val="white"/>
        </w:rPr>
      </w:pPr>
    </w:p>
    <w:p w:rsidR="000872AB" w:rsidRDefault="000872AB">
      <w:pPr>
        <w:numPr>
          <w:ilvl w:val="0"/>
          <w:numId w:val="1"/>
        </w:numPr>
        <w:spacing w:after="0"/>
        <w:rPr>
          <w:rFonts w:ascii="Arial" w:hAnsi="Arial" w:cs="Arial"/>
          <w:color w:val="000000"/>
          <w:sz w:val="24"/>
          <w:szCs w:val="24"/>
        </w:rPr>
      </w:pPr>
      <w:r w:rsidRPr="00A602BA">
        <w:rPr>
          <w:rFonts w:ascii="Quattrocento Sans" w:hAnsi="Quattrocento Sans" w:cs="Quattrocento Sans"/>
          <w:color w:val="212121"/>
          <w:highlight w:val="white"/>
          <w:lang w:val="en-US"/>
        </w:rPr>
        <w:t xml:space="preserve"> Carr R, Huizinga TW. Low soluble FcRIII receptor demonstrates reduced neutrophil reserves in preterm neonates. </w:t>
      </w:r>
      <w:r>
        <w:rPr>
          <w:rFonts w:ascii="Quattrocento Sans" w:hAnsi="Quattrocento Sans" w:cs="Quattrocento Sans"/>
          <w:color w:val="212121"/>
          <w:highlight w:val="white"/>
        </w:rPr>
        <w:t>Arch Dis Child Fetal Neonatal Ed. 2000 Sep;83(2):F160.</w:t>
      </w:r>
    </w:p>
    <w:p w:rsidR="000872AB" w:rsidRDefault="000872AB">
      <w:pPr>
        <w:spacing w:after="0"/>
        <w:ind w:left="720"/>
        <w:rPr>
          <w:rFonts w:ascii="Quattrocento Sans" w:hAnsi="Quattrocento Sans" w:cs="Quattrocento Sans"/>
          <w:color w:val="212121"/>
          <w:highlight w:val="white"/>
        </w:rPr>
      </w:pPr>
    </w:p>
    <w:p w:rsidR="000872AB" w:rsidRDefault="000872AB">
      <w:pPr>
        <w:numPr>
          <w:ilvl w:val="0"/>
          <w:numId w:val="1"/>
        </w:numPr>
        <w:spacing w:after="0"/>
        <w:rPr>
          <w:rFonts w:ascii="Arial" w:hAnsi="Arial" w:cs="Arial"/>
          <w:color w:val="000000"/>
          <w:sz w:val="24"/>
          <w:szCs w:val="24"/>
        </w:rPr>
      </w:pPr>
      <w:r>
        <w:rPr>
          <w:rFonts w:ascii="Quattrocento Sans" w:hAnsi="Quattrocento Sans" w:cs="Quattrocento Sans"/>
          <w:color w:val="212121"/>
          <w:highlight w:val="white"/>
        </w:rPr>
        <w:t xml:space="preserve"> Schelonka RL, Infante AJ. Neonatal immunology. Semin Perinatol. 1998 Feb;22(1):2-14.</w:t>
      </w:r>
    </w:p>
    <w:p w:rsidR="000872AB" w:rsidRDefault="000872AB">
      <w:pPr>
        <w:spacing w:after="0"/>
        <w:ind w:left="720"/>
        <w:rPr>
          <w:rFonts w:ascii="Quattrocento Sans" w:hAnsi="Quattrocento Sans" w:cs="Quattrocento Sans"/>
          <w:color w:val="212121"/>
          <w:highlight w:val="white"/>
        </w:rPr>
      </w:pPr>
    </w:p>
    <w:p w:rsidR="000872AB" w:rsidRDefault="000872AB">
      <w:pPr>
        <w:numPr>
          <w:ilvl w:val="0"/>
          <w:numId w:val="1"/>
        </w:numPr>
        <w:spacing w:after="0"/>
        <w:rPr>
          <w:rFonts w:ascii="Arial" w:hAnsi="Arial" w:cs="Arial"/>
          <w:color w:val="000000"/>
          <w:sz w:val="24"/>
          <w:szCs w:val="24"/>
        </w:rPr>
      </w:pPr>
      <w:r w:rsidRPr="00223093">
        <w:rPr>
          <w:rFonts w:ascii="Quattrocento Sans" w:hAnsi="Quattrocento Sans" w:cs="Quattrocento Sans"/>
          <w:color w:val="212121"/>
          <w:highlight w:val="white"/>
          <w:lang w:val="es-ES"/>
        </w:rPr>
        <w:t xml:space="preserve"> Pinquier D, Adde-Michela C, Ploin D, Levêque C, Marret S; le réseau de Périnatalité en Haute Normandie. </w:t>
      </w:r>
      <w:r w:rsidRPr="00A602BA">
        <w:rPr>
          <w:rFonts w:ascii="Quattrocento Sans" w:hAnsi="Quattrocento Sans" w:cs="Quattrocento Sans"/>
          <w:color w:val="212121"/>
          <w:highlight w:val="white"/>
          <w:lang w:val="fr-FR"/>
        </w:rPr>
        <w:t xml:space="preserve">Couverture vaccinale des grands prématurés à 6 mois et à 2 ans: étude pilote. </w:t>
      </w:r>
      <w:r>
        <w:rPr>
          <w:rFonts w:ascii="Quattrocento Sans" w:hAnsi="Quattrocento Sans" w:cs="Quattrocento Sans"/>
          <w:color w:val="212121"/>
          <w:highlight w:val="white"/>
        </w:rPr>
        <w:t>Arch Pediatr. 2009 Dec;16(12):1533-9.</w:t>
      </w:r>
    </w:p>
    <w:p w:rsidR="000872AB" w:rsidRDefault="000872AB">
      <w:pPr>
        <w:spacing w:after="0"/>
        <w:ind w:left="720"/>
        <w:rPr>
          <w:rFonts w:ascii="Quattrocento Sans" w:hAnsi="Quattrocento Sans" w:cs="Quattrocento Sans"/>
          <w:color w:val="212121"/>
          <w:highlight w:val="white"/>
        </w:rPr>
      </w:pPr>
    </w:p>
    <w:p w:rsidR="000872AB" w:rsidRPr="00A602BA" w:rsidRDefault="000872AB">
      <w:pPr>
        <w:numPr>
          <w:ilvl w:val="0"/>
          <w:numId w:val="1"/>
        </w:numPr>
        <w:rPr>
          <w:rFonts w:ascii="Arial" w:hAnsi="Arial" w:cs="Arial"/>
          <w:color w:val="000000"/>
          <w:sz w:val="24"/>
          <w:szCs w:val="24"/>
        </w:rPr>
      </w:pPr>
      <w:r w:rsidRPr="00A602BA">
        <w:rPr>
          <w:rFonts w:ascii="Quattrocento Sans" w:hAnsi="Quattrocento Sans" w:cs="Quattrocento Sans"/>
          <w:color w:val="212121"/>
          <w:highlight w:val="white"/>
          <w:lang w:val="en-US"/>
        </w:rPr>
        <w:t xml:space="preserve"> Magoon MW, Belardo LJ, Caldito G. Delays in immunizations of high-risk infants during the first two years of life: special care for the high-risk infant should not mean special immunization schedules. </w:t>
      </w:r>
      <w:r>
        <w:rPr>
          <w:rFonts w:ascii="Quattrocento Sans" w:hAnsi="Quattrocento Sans" w:cs="Quattrocento Sans"/>
          <w:color w:val="212121"/>
          <w:highlight w:val="white"/>
        </w:rPr>
        <w:t>J Perinatol. 1995 May-Jun;15(3):222-8. </w:t>
      </w:r>
    </w:p>
    <w:sectPr w:rsidR="000872AB" w:rsidRPr="00A602BA" w:rsidSect="005F1458">
      <w:pgSz w:w="11906" w:h="16838"/>
      <w:pgMar w:top="283" w:right="860"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Quattrocento Sans">
    <w:panose1 w:val="00000000000000000000"/>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2B155E"/>
    <w:multiLevelType w:val="multilevel"/>
    <w:tmpl w:val="FA4A74E8"/>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77AF"/>
    <w:rsid w:val="00015AF8"/>
    <w:rsid w:val="000872AB"/>
    <w:rsid w:val="00116598"/>
    <w:rsid w:val="00137BE6"/>
    <w:rsid w:val="00223093"/>
    <w:rsid w:val="00234836"/>
    <w:rsid w:val="003612FB"/>
    <w:rsid w:val="00471C09"/>
    <w:rsid w:val="00551B2F"/>
    <w:rsid w:val="005F1458"/>
    <w:rsid w:val="00655DC8"/>
    <w:rsid w:val="00867CF2"/>
    <w:rsid w:val="008C7621"/>
    <w:rsid w:val="00967E8C"/>
    <w:rsid w:val="009C4647"/>
    <w:rsid w:val="009F4C8E"/>
    <w:rsid w:val="009F7424"/>
    <w:rsid w:val="00A602BA"/>
    <w:rsid w:val="00B16F9D"/>
    <w:rsid w:val="00B377AF"/>
    <w:rsid w:val="00BF2263"/>
    <w:rsid w:val="00BF52D3"/>
    <w:rsid w:val="00C4305F"/>
    <w:rsid w:val="00D4240A"/>
    <w:rsid w:val="00D90423"/>
    <w:rsid w:val="00DA4631"/>
    <w:rsid w:val="00DC4D7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style>
  <w:style w:type="paragraph" w:styleId="Heading1">
    <w:name w:val="heading 1"/>
    <w:basedOn w:val="Normal"/>
    <w:next w:val="Normal"/>
    <w:link w:val="Heading1Char"/>
    <w:uiPriority w:val="99"/>
    <w:qFormat/>
    <w:pPr>
      <w:keepNext/>
      <w:keepLines/>
      <w:spacing w:before="480" w:after="120"/>
      <w:outlineLvl w:val="0"/>
    </w:pPr>
    <w:rPr>
      <w:b/>
      <w:sz w:val="48"/>
      <w:szCs w:val="48"/>
    </w:rPr>
  </w:style>
  <w:style w:type="paragraph" w:styleId="Heading2">
    <w:name w:val="heading 2"/>
    <w:basedOn w:val="Normal"/>
    <w:next w:val="Normal"/>
    <w:link w:val="Heading2Char"/>
    <w:uiPriority w:val="99"/>
    <w:qFormat/>
    <w:pPr>
      <w:keepNext/>
      <w:keepLines/>
      <w:spacing w:before="360" w:after="80"/>
      <w:outlineLvl w:val="1"/>
    </w:pPr>
    <w:rPr>
      <w:b/>
      <w:sz w:val="36"/>
      <w:szCs w:val="36"/>
    </w:rPr>
  </w:style>
  <w:style w:type="paragraph" w:styleId="Heading3">
    <w:name w:val="heading 3"/>
    <w:basedOn w:val="Normal"/>
    <w:next w:val="Normal"/>
    <w:link w:val="Heading3Char"/>
    <w:uiPriority w:val="99"/>
    <w:qFormat/>
    <w:pPr>
      <w:keepNext/>
      <w:keepLines/>
      <w:spacing w:before="280" w:after="80"/>
      <w:outlineLvl w:val="2"/>
    </w:pPr>
    <w:rPr>
      <w:b/>
      <w:sz w:val="28"/>
      <w:szCs w:val="28"/>
    </w:rPr>
  </w:style>
  <w:style w:type="paragraph" w:styleId="Heading4">
    <w:name w:val="heading 4"/>
    <w:basedOn w:val="Normal"/>
    <w:next w:val="Normal"/>
    <w:link w:val="Heading4Char"/>
    <w:uiPriority w:val="99"/>
    <w:qFormat/>
    <w:pPr>
      <w:keepNext/>
      <w:keepLines/>
      <w:spacing w:before="240" w:after="40"/>
      <w:outlineLvl w:val="3"/>
    </w:pPr>
    <w:rPr>
      <w:b/>
      <w:sz w:val="24"/>
      <w:szCs w:val="24"/>
    </w:rPr>
  </w:style>
  <w:style w:type="paragraph" w:styleId="Heading5">
    <w:name w:val="heading 5"/>
    <w:basedOn w:val="Normal"/>
    <w:next w:val="Normal"/>
    <w:link w:val="Heading5Char"/>
    <w:uiPriority w:val="99"/>
    <w:qFormat/>
    <w:pPr>
      <w:keepNext/>
      <w:keepLines/>
      <w:spacing w:before="220" w:after="40"/>
      <w:outlineLvl w:val="4"/>
    </w:pPr>
    <w:rPr>
      <w:b/>
    </w:rPr>
  </w:style>
  <w:style w:type="paragraph" w:styleId="Heading6">
    <w:name w:val="heading 6"/>
    <w:basedOn w:val="Normal"/>
    <w:next w:val="Normal"/>
    <w:link w:val="Heading6Char"/>
    <w:uiPriority w:val="99"/>
    <w:qFormat/>
    <w:pPr>
      <w:keepNext/>
      <w:keepLines/>
      <w:spacing w:before="200" w:after="40"/>
      <w:outlineLvl w:val="5"/>
    </w:pPr>
    <w:rPr>
      <w:b/>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b/>
      <w:kern w:val="32"/>
      <w:sz w:val="32"/>
    </w:rPr>
  </w:style>
  <w:style w:type="character" w:customStyle="1" w:styleId="Heading2Char">
    <w:name w:val="Heading 2 Char"/>
    <w:basedOn w:val="DefaultParagraphFont"/>
    <w:link w:val="Heading2"/>
    <w:uiPriority w:val="99"/>
    <w:semiHidden/>
    <w:locked/>
    <w:rPr>
      <w:rFonts w:ascii="Cambria" w:hAnsi="Cambria"/>
      <w:b/>
      <w:i/>
      <w:sz w:val="28"/>
    </w:rPr>
  </w:style>
  <w:style w:type="character" w:customStyle="1" w:styleId="Heading3Char">
    <w:name w:val="Heading 3 Char"/>
    <w:basedOn w:val="DefaultParagraphFont"/>
    <w:link w:val="Heading3"/>
    <w:uiPriority w:val="99"/>
    <w:semiHidden/>
    <w:locked/>
    <w:rPr>
      <w:rFonts w:ascii="Cambria" w:hAnsi="Cambria"/>
      <w:b/>
      <w:sz w:val="26"/>
    </w:rPr>
  </w:style>
  <w:style w:type="character" w:customStyle="1" w:styleId="Heading4Char">
    <w:name w:val="Heading 4 Char"/>
    <w:basedOn w:val="DefaultParagraphFont"/>
    <w:link w:val="Heading4"/>
    <w:uiPriority w:val="99"/>
    <w:semiHidden/>
    <w:locked/>
    <w:rPr>
      <w:rFonts w:ascii="Calibri" w:hAnsi="Calibri"/>
      <w:b/>
      <w:sz w:val="28"/>
    </w:rPr>
  </w:style>
  <w:style w:type="character" w:customStyle="1" w:styleId="Heading5Char">
    <w:name w:val="Heading 5 Char"/>
    <w:basedOn w:val="DefaultParagraphFont"/>
    <w:link w:val="Heading5"/>
    <w:uiPriority w:val="99"/>
    <w:semiHidden/>
    <w:locked/>
    <w:rPr>
      <w:rFonts w:ascii="Calibri" w:hAnsi="Calibri"/>
      <w:b/>
      <w:i/>
      <w:sz w:val="26"/>
    </w:rPr>
  </w:style>
  <w:style w:type="character" w:customStyle="1" w:styleId="Heading6Char">
    <w:name w:val="Heading 6 Char"/>
    <w:basedOn w:val="DefaultParagraphFont"/>
    <w:link w:val="Heading6"/>
    <w:uiPriority w:val="99"/>
    <w:semiHidden/>
    <w:locked/>
    <w:rPr>
      <w:rFonts w:ascii="Calibri" w:hAnsi="Calibri"/>
      <w:b/>
    </w:rPr>
  </w:style>
  <w:style w:type="table" w:customStyle="1" w:styleId="TableNormal1">
    <w:name w:val="Table Normal1"/>
    <w:uiPriority w:val="99"/>
    <w:pPr>
      <w:spacing w:after="160" w:line="259" w:lineRule="auto"/>
    </w:pPr>
    <w:tblPr>
      <w:tblCellMar>
        <w:top w:w="0" w:type="dxa"/>
        <w:left w:w="0" w:type="dxa"/>
        <w:bottom w:w="0" w:type="dxa"/>
        <w:right w:w="0" w:type="dxa"/>
      </w:tblCellMar>
    </w:tblPr>
  </w:style>
  <w:style w:type="paragraph" w:styleId="Title">
    <w:name w:val="Title"/>
    <w:basedOn w:val="Normal"/>
    <w:next w:val="Normal"/>
    <w:link w:val="TitleChar"/>
    <w:uiPriority w:val="99"/>
    <w:qFormat/>
    <w:pPr>
      <w:keepNext/>
      <w:keepLines/>
      <w:spacing w:before="480" w:after="120"/>
    </w:pPr>
    <w:rPr>
      <w:b/>
      <w:sz w:val="72"/>
      <w:szCs w:val="72"/>
    </w:rPr>
  </w:style>
  <w:style w:type="character" w:customStyle="1" w:styleId="TitleChar">
    <w:name w:val="Title Char"/>
    <w:basedOn w:val="DefaultParagraphFont"/>
    <w:link w:val="Title"/>
    <w:uiPriority w:val="99"/>
    <w:locked/>
    <w:rPr>
      <w:rFonts w:ascii="Cambria" w:hAnsi="Cambria"/>
      <w:b/>
      <w:kern w:val="28"/>
      <w:sz w:val="32"/>
    </w:rPr>
  </w:style>
  <w:style w:type="paragraph" w:styleId="ListParagraph">
    <w:name w:val="List Paragraph"/>
    <w:basedOn w:val="Normal"/>
    <w:uiPriority w:val="99"/>
    <w:qFormat/>
    <w:pPr>
      <w:ind w:left="720"/>
      <w:contextualSpacing/>
    </w:pPr>
  </w:style>
  <w:style w:type="paragraph" w:styleId="Subtitle">
    <w:name w:val="Subtitle"/>
    <w:basedOn w:val="Normal"/>
    <w:next w:val="Normal"/>
    <w:link w:val="SubtitleChar"/>
    <w:uiPriority w:val="99"/>
    <w:qFormat/>
    <w:pPr>
      <w:keepNext/>
      <w:keepLines/>
      <w:spacing w:before="360" w:after="80"/>
    </w:pPr>
    <w:rPr>
      <w:rFonts w:ascii="Georgia" w:hAnsi="Georgia" w:cs="Georgia"/>
      <w:i/>
      <w:color w:val="666666"/>
      <w:sz w:val="48"/>
      <w:szCs w:val="48"/>
    </w:rPr>
  </w:style>
  <w:style w:type="character" w:customStyle="1" w:styleId="SubtitleChar">
    <w:name w:val="Subtitle Char"/>
    <w:basedOn w:val="DefaultParagraphFont"/>
    <w:link w:val="Subtitle"/>
    <w:uiPriority w:val="99"/>
    <w:locked/>
    <w:rPr>
      <w:rFonts w:ascii="Cambria" w:hAnsi="Cambria"/>
      <w:sz w:val="24"/>
    </w:rPr>
  </w:style>
  <w:style w:type="character" w:styleId="Hyperlink">
    <w:name w:val="Hyperlink"/>
    <w:basedOn w:val="DefaultParagraphFont"/>
    <w:uiPriority w:val="99"/>
    <w:rsid w:val="00A602BA"/>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https://lh3.googleusercontent.com/6Cg9yr3j_kgk_o5YBm7pkVCI--gHdM3oI6xuFlBvEZOx08vt40rHq8AgW3BDV83Lb1DmLBsn97dQi4dAC0qWQjVOhG-ZVhIv2n6mBUgPeex07Nl64ZPwxFWEO8AZ3cn7ros6fB5qB6TxIbzfguUd4w" TargetMode="External"/><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jpeg"/><Relationship Id="rId5" Type="http://schemas.openxmlformats.org/officeDocument/2006/relationships/hyperlink" Target="http://www.paulomargotto.com.br" TargetMode="Externa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10</Pages>
  <Words>927</Words>
  <Characters>5010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PROTOCOLO DE VACINAÇÃO DE PREMATUROS NA UTIN E UCIN DO HOSPITAL MATERNO INFANTIL DE BRASÍLIA</dc:title>
  <dc:subject/>
  <dc:creator>CARLOS ZACONETA</dc:creator>
  <cp:keywords/>
  <dc:description/>
  <cp:lastModifiedBy>pmargotto@gmail.com</cp:lastModifiedBy>
  <cp:revision>2</cp:revision>
  <cp:lastPrinted>2023-03-28T19:39:00Z</cp:lastPrinted>
  <dcterms:created xsi:type="dcterms:W3CDTF">2023-04-01T12:20:00Z</dcterms:created>
  <dcterms:modified xsi:type="dcterms:W3CDTF">2023-04-01T12:20:00Z</dcterms:modified>
</cp:coreProperties>
</file>