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6B1" w:rsidRPr="00E311F4" w:rsidRDefault="006846B1" w:rsidP="00E31E13">
      <w:pPr>
        <w:spacing w:after="0" w:line="360" w:lineRule="auto"/>
        <w:jc w:val="center"/>
        <w:rPr>
          <w:rFonts w:ascii="ABeeZee" w:hAnsi="ABeeZee"/>
          <w:b/>
          <w:bCs/>
          <w:color w:val="0000FF"/>
          <w:sz w:val="48"/>
          <w:szCs w:val="48"/>
        </w:rPr>
      </w:pPr>
      <w:r w:rsidRPr="00E311F4">
        <w:rPr>
          <w:rFonts w:ascii="ABeeZee" w:hAnsi="ABeeZee"/>
          <w:b/>
          <w:bCs/>
          <w:color w:val="0000FF"/>
          <w:sz w:val="48"/>
          <w:szCs w:val="48"/>
        </w:rPr>
        <w:t>Restrição do Crescimento Intrauterino e Desfechos Neonatais</w:t>
      </w:r>
    </w:p>
    <w:p w:rsidR="006846B1" w:rsidRPr="008542BE" w:rsidRDefault="006846B1" w:rsidP="00E31E13">
      <w:pPr>
        <w:spacing w:after="0" w:line="360" w:lineRule="auto"/>
        <w:jc w:val="center"/>
        <w:rPr>
          <w:rFonts w:ascii="Times New Roman" w:hAnsi="Times New Roman"/>
          <w:bCs/>
          <w:color w:val="000000"/>
          <w:sz w:val="28"/>
          <w:szCs w:val="28"/>
        </w:rPr>
      </w:pPr>
      <w:r w:rsidRPr="008542BE">
        <w:rPr>
          <w:rFonts w:ascii="Times New Roman" w:hAnsi="Times New Roman"/>
          <w:bCs/>
          <w:color w:val="000000"/>
          <w:sz w:val="28"/>
          <w:szCs w:val="28"/>
        </w:rPr>
        <w:t>Marta David Rocha de Moura</w:t>
      </w:r>
      <w:r>
        <w:rPr>
          <w:rFonts w:ascii="Times New Roman" w:hAnsi="Times New Roman"/>
          <w:bCs/>
          <w:color w:val="000000"/>
          <w:sz w:val="28"/>
          <w:szCs w:val="28"/>
        </w:rPr>
        <w:t xml:space="preserve"> (DF)</w:t>
      </w:r>
    </w:p>
    <w:p w:rsidR="006846B1" w:rsidRDefault="006846B1" w:rsidP="00E31E13">
      <w:pPr>
        <w:spacing w:after="0" w:line="360" w:lineRule="auto"/>
        <w:jc w:val="center"/>
        <w:rPr>
          <w:rFonts w:ascii="ABeeZee" w:hAnsi="ABeeZee"/>
          <w:b/>
          <w:bCs/>
          <w:color w:val="0000FF"/>
          <w:sz w:val="28"/>
          <w:szCs w:val="28"/>
        </w:rPr>
      </w:pPr>
      <w:hyperlink r:id="rId4" w:history="1">
        <w:r w:rsidRPr="003B300B">
          <w:rPr>
            <w:rStyle w:val="Hyperlink"/>
            <w:rFonts w:ascii="ABeeZee" w:hAnsi="ABeeZee"/>
            <w:b/>
            <w:bCs/>
            <w:sz w:val="28"/>
            <w:szCs w:val="28"/>
          </w:rPr>
          <w:t>www.paulomargotto.com.br</w:t>
        </w:r>
      </w:hyperlink>
    </w:p>
    <w:p w:rsidR="006846B1" w:rsidRPr="008B0BAF" w:rsidRDefault="006846B1" w:rsidP="00E31E13">
      <w:pPr>
        <w:spacing w:after="0" w:line="360" w:lineRule="auto"/>
        <w:jc w:val="center"/>
        <w:rPr>
          <w:rFonts w:ascii="Aptos Display" w:hAnsi="Aptos Display"/>
          <w:b/>
          <w:bCs/>
          <w:sz w:val="24"/>
          <w:szCs w:val="24"/>
          <w:u w:val="single"/>
        </w:rPr>
      </w:pPr>
    </w:p>
    <w:p w:rsidR="006846B1" w:rsidRPr="008542BE" w:rsidRDefault="006846B1" w:rsidP="005F64C9">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A restrição de crescimento intrauterino (RCIU) é um padrão anormal de crescimento fetal que ocorre em aproximadamente 8% a 10% das gestações e está associada à morbidade e mortalidade neonatal. RCIU refere-se a um crescimento fetal diminuído, podendo ter causas fetais, maternas ou placentárias, como anomalias congênitas ou cromossômicas, infecções e distúrbios vasculares. Essas condições levam a uma série de eventos prejudiciais, incluindo a redução de oxigênio (até hipoxemia) e deficiências nutricionais, resultando em deterioração cardiovascular, resistência extrema ao fluxo sanguíneo e diminuição da taxa de crescimento fetal. </w:t>
      </w:r>
      <w:r w:rsidRPr="008542BE">
        <w:rPr>
          <w:rFonts w:ascii="Times New Roman" w:hAnsi="Times New Roman"/>
          <w:sz w:val="24"/>
          <w:szCs w:val="24"/>
          <w:vertAlign w:val="superscript"/>
        </w:rPr>
        <w:t>(1,2,3)</w:t>
      </w:r>
    </w:p>
    <w:p w:rsidR="006846B1" w:rsidRPr="008542BE" w:rsidRDefault="006846B1" w:rsidP="005F64C9">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Em gestações com RCIU, o feto tenta evitar danos retardando seu crescimento e encurtando sua gestação. No entanto, essas respostas adaptativas para lidar com a desnutrição intrauterina têm consequências duradouras, associadas a resultados adversos de desenvolvimento e de sua saúde ao longo da vida. </w:t>
      </w:r>
      <w:r w:rsidRPr="008542BE">
        <w:rPr>
          <w:rFonts w:ascii="Times New Roman" w:hAnsi="Times New Roman"/>
          <w:sz w:val="24"/>
          <w:szCs w:val="24"/>
          <w:vertAlign w:val="superscript"/>
        </w:rPr>
        <w:t>(4,5)</w:t>
      </w:r>
    </w:p>
    <w:p w:rsidR="006846B1" w:rsidRPr="008542BE" w:rsidRDefault="006846B1" w:rsidP="005F64C9">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Na maioria dos casos, os fetos com RCIU nascem pequenos para a idade gestacional (PIG), uma classificação que descreve recém-nascidos com peso ao nascer abaixo do 10º percentil para a idade gestacional. Apesar da alta comorbidade entre PIG e RCIU, é importante definir e diferenciar as duas condições. RCIU reflete sofrimento fetal, enquanto o RN PIG fornece apenas uma medida de tamanho, sem refletir diretamente a qualidade do crescimento pré-natal. </w:t>
      </w:r>
      <w:r w:rsidRPr="008542BE">
        <w:rPr>
          <w:rFonts w:ascii="Times New Roman" w:hAnsi="Times New Roman"/>
          <w:sz w:val="24"/>
          <w:szCs w:val="24"/>
          <w:vertAlign w:val="superscript"/>
        </w:rPr>
        <w:t>(4,5)</w:t>
      </w:r>
    </w:p>
    <w:p w:rsidR="006846B1" w:rsidRPr="008542BE" w:rsidRDefault="006846B1" w:rsidP="00707B35">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O status PIG não é suficiente para identificar a restrição de crescimento pré-natal; crianças que eram PIG são geralmente descritas como ex-fetos constitucionalmente pequenos. A diferenciação pós-natal entre RCIU e PIG pode ser difícil, e vários fatores pré-natais (como a avaliação do Doppler da artéria umbilical) já foram propostos para aumentar a precisão no diagnóstico. Apesar disso, PIG pode representar um subtipo tardio ou atenuado de RCIU ou mesmo um tipo diferente de alteração ambiental pré-natal; portanto, uma origem patológica de PIG não pode ser excluída. </w:t>
      </w:r>
      <w:r w:rsidRPr="008542BE">
        <w:rPr>
          <w:rFonts w:ascii="Times New Roman" w:hAnsi="Times New Roman"/>
          <w:sz w:val="24"/>
          <w:szCs w:val="24"/>
          <w:vertAlign w:val="superscript"/>
        </w:rPr>
        <w:t>(5,6,7)</w:t>
      </w:r>
    </w:p>
    <w:p w:rsidR="006846B1" w:rsidRPr="008542BE" w:rsidRDefault="006846B1" w:rsidP="00707B35">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Uma variável importante a ser considerada ao estudar o desenvolvimento de RCIU e RN PIG é o parto prematuro (&lt;37 semanas gestacionais), que pode ocorrer em ambas as condições. Ainda não está claro se o ambiente intrauterino oferece um melhor resultado a longo prazo para o bebê com crescimento restrito do que uma exposição precoce ao ambiente extrauterino. </w:t>
      </w:r>
      <w:r w:rsidRPr="008542BE">
        <w:rPr>
          <w:rFonts w:ascii="Times New Roman" w:hAnsi="Times New Roman"/>
          <w:sz w:val="24"/>
          <w:szCs w:val="24"/>
          <w:vertAlign w:val="superscript"/>
        </w:rPr>
        <w:t>(7,8)</w:t>
      </w:r>
    </w:p>
    <w:p w:rsidR="006846B1" w:rsidRPr="008542BE" w:rsidRDefault="006846B1" w:rsidP="00707B35">
      <w:pPr>
        <w:spacing w:line="276" w:lineRule="auto"/>
        <w:ind w:firstLine="708"/>
        <w:jc w:val="both"/>
        <w:rPr>
          <w:rFonts w:ascii="Times New Roman" w:hAnsi="Times New Roman"/>
          <w:sz w:val="24"/>
          <w:szCs w:val="24"/>
        </w:rPr>
      </w:pPr>
      <w:r w:rsidRPr="008542BE">
        <w:rPr>
          <w:rFonts w:ascii="Times New Roman" w:hAnsi="Times New Roman"/>
          <w:sz w:val="24"/>
          <w:szCs w:val="24"/>
        </w:rPr>
        <w:t>Os recém-nascidos que apresentam severa restrição de crescimento estão descritos em um subconjunto de gestações com alto risco de pior resultado perinatal. A detecção de fetos pequenos é clinicamente relevante porque, como um todo, esse grupo está associado a piores resultados perinatais. Isso representa oportunidades para prevenir casos de morte fetal intrauterina, lesão cerebral perinatal e sofrimento fetal intraparto grave. Além disso, evidências acumuladas nos últimos 20 anos têm demonstrado consistentemente que nascer pequeno tem implicações importantes para a qualidade da saúde durante a vida adulta.</w:t>
      </w:r>
      <w:r w:rsidRPr="008542BE">
        <w:rPr>
          <w:rFonts w:ascii="Times New Roman" w:hAnsi="Times New Roman"/>
          <w:sz w:val="24"/>
          <w:szCs w:val="24"/>
          <w:vertAlign w:val="superscript"/>
        </w:rPr>
        <w:t>(8,9)</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Estudos seriados da população mostram que a identificação pré-natal de bebês pequenos para a idade gestacional (PIG) resulta em uma redução de resultados perinatais adversos e natimortos. No entanto, a maioria dos bebês PIG permanece despercebida até o nascimento, mesmo quando é realizado ultrassom de rotina no terceiro trimestre. Além disso, estudos gestacionais indicam que a maioria dos casos de natimortos evitáveis está relacionada à falha na detecção pré-natal de PIG. </w:t>
      </w:r>
      <w:r w:rsidRPr="008542BE">
        <w:rPr>
          <w:rFonts w:ascii="Times New Roman" w:hAnsi="Times New Roman"/>
          <w:sz w:val="24"/>
          <w:szCs w:val="24"/>
          <w:vertAlign w:val="superscript"/>
        </w:rPr>
        <w:t>9,10</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A diferenciação pós-natal entre RCIU e PIG pode ser difícil, necessitando da inclusão de vários fatores pré-natais, como a avaliação Doppler da artéria umbilical, para aumentar a precisão no diagnóstico. Apesar disso, PIG pode representar um subtipo tardio ou atenuado de RCIU ou mesmo um tipo diferente de alteração ambiental pré-natal, de modo que uma origem patológica de PIG não pode ser excluída. </w:t>
      </w:r>
      <w:r w:rsidRPr="008542BE">
        <w:rPr>
          <w:rFonts w:ascii="Times New Roman" w:hAnsi="Times New Roman"/>
          <w:sz w:val="24"/>
          <w:szCs w:val="24"/>
          <w:vertAlign w:val="superscript"/>
        </w:rPr>
        <w:t>10,11</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A avaliação da frequência cardíaca fetal, variabilidade e presença de acelerações e desacelerações é realizada visualmente, classificando a condição fetal como "tranquilizadora" ou "não tranquilizadora". A análise computadorizada do sinal fornece uma avaliação objetiva, expressa como variabilidade de curto prazo (VCP). Embora o Doppler da artéria umbilical identifique claramente um feto "em risco", as alterações na forma de onda do Doppler do ducto venoso podem ter uma melhor associação com a morbidade neonatal subsequente do que aquelas baseadas na anormalidade do Doppler umbilical em casos de RCIU prematuro precoce. </w:t>
      </w:r>
      <w:r w:rsidRPr="008542BE">
        <w:rPr>
          <w:rFonts w:ascii="Times New Roman" w:hAnsi="Times New Roman"/>
          <w:sz w:val="24"/>
          <w:szCs w:val="24"/>
          <w:vertAlign w:val="superscript"/>
        </w:rPr>
        <w:t>12,13</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A doença hipertensiva é uma das condições gestacionais que levam à restrição do crescimento fetal e continua sendo uma das principais causas de morbidade e mortalidade materna e fetal relacionadas à gravidez em todo o mundo. As mulheres afetadas também apresentam risco aumentado de doença cardiovascular (DCV) mais tarde na vida, independentemente dos riscos tradicionais de DCV. </w:t>
      </w:r>
      <w:r w:rsidRPr="008542BE">
        <w:rPr>
          <w:rFonts w:ascii="Times New Roman" w:hAnsi="Times New Roman"/>
          <w:sz w:val="24"/>
          <w:szCs w:val="24"/>
          <w:vertAlign w:val="superscript"/>
        </w:rPr>
        <w:t>1,2</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Os distúrbios hipertensivos da gravidez (DHG) incluem hipertensão crônica, hipertensão gestacional, pré-eclâmpsia/eclâmpsia e pré-eclâmpsia sobreposta à hipertensão crônica. Os critérios diagnósticos para DHG, definidos pelo Colégio Americano de Obstetras e Ginecologistas (ACOG), foram publicados em 2013, com atualizações e recomendações feitas em 2019 e </w:t>
      </w:r>
      <w:smartTag w:uri="urn:schemas-microsoft-com:office:smarttags" w:element="metricconverter">
        <w:smartTagPr>
          <w:attr w:name="ProductID" w:val="2022. A"/>
        </w:smartTagPr>
        <w:r w:rsidRPr="008542BE">
          <w:rPr>
            <w:rFonts w:ascii="Times New Roman" w:hAnsi="Times New Roman"/>
            <w:sz w:val="24"/>
            <w:szCs w:val="24"/>
          </w:rPr>
          <w:t>2022. A</w:t>
        </w:r>
      </w:smartTag>
      <w:r w:rsidRPr="008542BE">
        <w:rPr>
          <w:rFonts w:ascii="Times New Roman" w:hAnsi="Times New Roman"/>
          <w:sz w:val="24"/>
          <w:szCs w:val="24"/>
        </w:rPr>
        <w:t xml:space="preserve"> maioria das diretrizes em todo o mundo está alinhada na definição de hipertensão na gravidez como pressão arterial ≥140/90 mm Hg. </w:t>
      </w:r>
      <w:r w:rsidRPr="008542BE">
        <w:rPr>
          <w:rFonts w:ascii="Times New Roman" w:hAnsi="Times New Roman"/>
          <w:sz w:val="24"/>
          <w:szCs w:val="24"/>
          <w:vertAlign w:val="superscript"/>
        </w:rPr>
        <w:t>2,3</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A Society for Maternal-Fetal Medicine (SMFM) e a International Society for Ultrasound in Obstetrics and Gynecology (ISUOG) emitiram recentemente diretrizes clínicas sobre o gerenciamento da RCIU. Além disso, várias organizações profissionais fizeram recomendações, cujas diferenças e semelhanças foram revisadas anteriormente no American Journal of Obstetrics &amp; Gynecology. </w:t>
      </w:r>
      <w:r w:rsidRPr="008542BE">
        <w:rPr>
          <w:rFonts w:ascii="Times New Roman" w:hAnsi="Times New Roman"/>
          <w:sz w:val="24"/>
          <w:szCs w:val="24"/>
          <w:vertAlign w:val="superscript"/>
        </w:rPr>
        <w:t>2,3</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A restrição do crescimento fetal é frequentemente associada a um feto que não consegue atingir seu potencial de crescimento genético e biológico, sendo a disfunção placentária uma das causas mais comuns. Antes da publicação dos critérios de consenso Delphi em </w:t>
      </w:r>
      <w:smartTag w:uri="urn:schemas-microsoft-com:office:smarttags" w:element="metricconverter">
        <w:smartTagPr>
          <w:attr w:name="ProductID" w:val="2016, a"/>
        </w:smartTagPr>
        <w:r w:rsidRPr="008542BE">
          <w:rPr>
            <w:rFonts w:ascii="Times New Roman" w:hAnsi="Times New Roman"/>
            <w:sz w:val="24"/>
            <w:szCs w:val="24"/>
          </w:rPr>
          <w:t>2016, a</w:t>
        </w:r>
      </w:smartTag>
      <w:r w:rsidRPr="008542BE">
        <w:rPr>
          <w:rFonts w:ascii="Times New Roman" w:hAnsi="Times New Roman"/>
          <w:sz w:val="24"/>
          <w:szCs w:val="24"/>
        </w:rPr>
        <w:t xml:space="preserve"> definição mais comum de RCIU baseava-se na avaliação do tamanho fetal (peso fetal estimado [PFE] ou circunferência abdominal [CA]) e seu desvio estatístico de intervalos de referência ou padrões específicos. </w:t>
      </w:r>
      <w:r w:rsidRPr="008542BE">
        <w:rPr>
          <w:rFonts w:ascii="Times New Roman" w:hAnsi="Times New Roman"/>
          <w:sz w:val="24"/>
          <w:szCs w:val="24"/>
          <w:vertAlign w:val="superscript"/>
        </w:rPr>
        <w:t>4,5</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O tamanho fetal &lt; 10º percentil tem sido frequentemente usado para definir um feto pequeno para a idade gestacional (PIG) e é comumente determinado usando a fórmula clássica de Hadlock. Esta definição deriva da proposta feita em 1967 por Battaglia e Lubchenco, que classificaram os recém-nascidos como PIG, apropriados para a idade gestacional (AIG) e grandes para a idade gestacional (GIG) com base no desvio do peso ao nascer da média, considerando os percentis &lt; 10º e &gt; 90º para PIG e GIG, respectivamente. Sua definição identificou um recém-nascido abaixo do corte absoluto do peso ao nascer do 10º percentil como PIG, mas não distinguiu entre o recém-nascido patologicamente pequeno e o normalmente (ou constitucionalmente) pequeno. Um peso ao nascer que identifica PIG está, sem dúvida, associado a um risco aumentado de resultado adverso. </w:t>
      </w:r>
      <w:r w:rsidRPr="008542BE">
        <w:rPr>
          <w:rFonts w:ascii="Times New Roman" w:hAnsi="Times New Roman"/>
          <w:sz w:val="24"/>
          <w:szCs w:val="24"/>
          <w:vertAlign w:val="superscript"/>
        </w:rPr>
        <w:t>14</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Embora uma redução na velocidade de crescimento fetal possa não ser suficiente como critério independente para suspeita de RCIU, ela deve alertar o clínico a considerar parâmetros de monitoramento adicionais, como a Dopplervelocimetria, que é um complemento importante para identificar comprometimento fetal ou útero-placentário. </w:t>
      </w:r>
      <w:r w:rsidRPr="008542BE">
        <w:rPr>
          <w:rFonts w:ascii="Times New Roman" w:hAnsi="Times New Roman"/>
          <w:sz w:val="24"/>
          <w:szCs w:val="24"/>
          <w:vertAlign w:val="superscript"/>
        </w:rPr>
        <w:t>14,15</w:t>
      </w:r>
    </w:p>
    <w:p w:rsidR="006846B1" w:rsidRPr="008542BE" w:rsidRDefault="006846B1" w:rsidP="003F6C64">
      <w:pPr>
        <w:spacing w:line="276" w:lineRule="auto"/>
        <w:ind w:firstLine="708"/>
        <w:jc w:val="both"/>
        <w:rPr>
          <w:rFonts w:ascii="Times New Roman" w:hAnsi="Times New Roman"/>
          <w:sz w:val="24"/>
          <w:szCs w:val="24"/>
        </w:rP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6" type="#_x0000_t75" alt="DiagramaDescrição gerada automaticamente" style="position:absolute;left:0;text-align:left;margin-left:8.9pt;margin-top:72.6pt;width:418.05pt;height:226.3pt;z-index:-251658240;visibility:visible">
            <v:imagedata r:id="rId5" o:title=""/>
            <w10:wrap type="square"/>
          </v:shape>
        </w:pict>
      </w:r>
      <w:r w:rsidRPr="008542BE">
        <w:rPr>
          <w:rFonts w:ascii="Times New Roman" w:hAnsi="Times New Roman"/>
          <w:sz w:val="24"/>
          <w:szCs w:val="24"/>
        </w:rPr>
        <w:t xml:space="preserve">A figura abaixo representa os principais componentes vasculares útero-placentários-fetais que podem ser avaliados com Dopplervelocimetria e que desempenham um papel no diagnóstico, vigilância e/ou momento do parto de fetos com suspeita de RCIU. </w:t>
      </w:r>
      <w:r w:rsidRPr="008542BE">
        <w:rPr>
          <w:rFonts w:ascii="Times New Roman" w:hAnsi="Times New Roman"/>
          <w:sz w:val="24"/>
          <w:szCs w:val="24"/>
          <w:vertAlign w:val="superscript"/>
        </w:rPr>
        <w:t>15</w:t>
      </w:r>
    </w:p>
    <w:p w:rsidR="006846B1" w:rsidRPr="008542BE" w:rsidRDefault="006846B1" w:rsidP="00F76CD1">
      <w:pPr>
        <w:spacing w:line="276" w:lineRule="auto"/>
        <w:jc w:val="both"/>
        <w:rPr>
          <w:rFonts w:ascii="Times New Roman" w:hAnsi="Times New Roman"/>
          <w:sz w:val="24"/>
          <w:szCs w:val="24"/>
        </w:rPr>
      </w:pPr>
      <w:r w:rsidRPr="008542BE">
        <w:rPr>
          <w:rFonts w:ascii="Times New Roman" w:hAnsi="Times New Roman"/>
          <w:b/>
          <w:bCs/>
          <w:sz w:val="24"/>
          <w:szCs w:val="24"/>
        </w:rPr>
        <w:t>Figura A:</w:t>
      </w:r>
      <w:r w:rsidRPr="008542BE">
        <w:rPr>
          <w:rFonts w:ascii="Times New Roman" w:hAnsi="Times New Roman"/>
          <w:sz w:val="24"/>
          <w:szCs w:val="24"/>
        </w:rPr>
        <w:t xml:space="preserve">  As artérias umbilicais refletem a impedância ao fluxo sanguíneo no lado fetal da placenta. Com o aumento da idade gestacional (IG), a impedância umbilical se torna progressivamente reduzida. No entanto, com o dano progressivo das vilosidades coriônicas, a impedância da artéria umbilical aumenta até que ocorra a ausência de fluxo diastólico final ou fluxo diastólico final reverso. O índice de pulsatilidade (IP) da artéria umbilical não se correlaciona com a hipoxemia fetal.</w:t>
      </w:r>
    </w:p>
    <w:p w:rsidR="006846B1" w:rsidRPr="008542BE" w:rsidRDefault="006846B1" w:rsidP="00F76CD1">
      <w:pPr>
        <w:spacing w:line="276" w:lineRule="auto"/>
        <w:jc w:val="both"/>
        <w:rPr>
          <w:rFonts w:ascii="Times New Roman" w:hAnsi="Times New Roman"/>
          <w:sz w:val="24"/>
          <w:szCs w:val="24"/>
        </w:rPr>
      </w:pPr>
      <w:r w:rsidRPr="008542BE">
        <w:rPr>
          <w:rFonts w:ascii="Times New Roman" w:hAnsi="Times New Roman"/>
          <w:b/>
          <w:bCs/>
          <w:sz w:val="24"/>
          <w:szCs w:val="24"/>
        </w:rPr>
        <w:t>Figura B:</w:t>
      </w:r>
      <w:r w:rsidRPr="008542BE">
        <w:rPr>
          <w:rFonts w:ascii="Times New Roman" w:hAnsi="Times New Roman"/>
          <w:sz w:val="24"/>
          <w:szCs w:val="24"/>
        </w:rPr>
        <w:t xml:space="preserve"> O fluxo sanguíneo da artéria uterina reflete a resistência ao fluxo sanguíneo no lado materno da placenta. Em condições fisiológicas, a impedância da artéria uterina diminui com a IG, enquanto a resistência ao fluxo sanguíneo permanece elevada em casos de invasão placentária anormal, sendo preditiva de RCIU, especialmente quando associada à pré-eclâmpsia.</w:t>
      </w:r>
    </w:p>
    <w:p w:rsidR="006846B1" w:rsidRPr="008542BE" w:rsidRDefault="006846B1" w:rsidP="00F76CD1">
      <w:pPr>
        <w:spacing w:line="276" w:lineRule="auto"/>
        <w:jc w:val="both"/>
        <w:rPr>
          <w:rFonts w:ascii="Times New Roman" w:hAnsi="Times New Roman"/>
          <w:sz w:val="24"/>
          <w:szCs w:val="24"/>
        </w:rPr>
      </w:pPr>
      <w:r w:rsidRPr="008542BE">
        <w:rPr>
          <w:rFonts w:ascii="Times New Roman" w:hAnsi="Times New Roman"/>
          <w:b/>
          <w:bCs/>
          <w:sz w:val="24"/>
          <w:szCs w:val="24"/>
        </w:rPr>
        <w:t xml:space="preserve">Figura C: </w:t>
      </w:r>
      <w:r w:rsidRPr="008542BE">
        <w:rPr>
          <w:rFonts w:ascii="Times New Roman" w:hAnsi="Times New Roman"/>
          <w:sz w:val="24"/>
          <w:szCs w:val="24"/>
        </w:rPr>
        <w:t>O ducto venoso representa uma derivação fetal que transporta sangue oxigenado em alta velocidade da veia umbilical, através do forame oval para o átrio esquerdo e depois para o ventrículo esquerdo do coração. A crista divide o sangue oxigenado do sangue desoxigenado da veia cava inferior, que passa pelo ventrículo direito e pela circulação sistêmica. A dilatação progressiva do ducto venoso aumenta a entrega de sangue oxigenado diretamente para o miocárdio e o cérebro fetal. Alterações na forma de onda do ducto venoso estão associadas ao aumento do risco de mortalidade e morbidade perinatal.</w:t>
      </w:r>
    </w:p>
    <w:p w:rsidR="006846B1" w:rsidRPr="008542BE" w:rsidRDefault="006846B1" w:rsidP="00F76CD1">
      <w:pPr>
        <w:spacing w:line="276" w:lineRule="auto"/>
        <w:jc w:val="both"/>
        <w:rPr>
          <w:rFonts w:ascii="Times New Roman" w:hAnsi="Times New Roman"/>
          <w:sz w:val="24"/>
          <w:szCs w:val="24"/>
        </w:rPr>
      </w:pPr>
      <w:r w:rsidRPr="008542BE">
        <w:rPr>
          <w:rFonts w:ascii="Times New Roman" w:hAnsi="Times New Roman"/>
          <w:b/>
          <w:bCs/>
          <w:sz w:val="24"/>
          <w:szCs w:val="24"/>
        </w:rPr>
        <w:t>Figura D:</w:t>
      </w:r>
      <w:r w:rsidRPr="008542BE">
        <w:rPr>
          <w:rFonts w:ascii="Times New Roman" w:hAnsi="Times New Roman"/>
          <w:sz w:val="24"/>
          <w:szCs w:val="24"/>
        </w:rPr>
        <w:t xml:space="preserve"> A artéria cerebral média normalmente mostra alta impedância ao fluxo sanguíneo. A redistribuição do fluxo sanguíneo cerebral é uma resposta adaptativa fetal à hipoxemia e/ou hipercapnia, podendo ser identificada como baixa impedância na artéria cerebral média. Para mais informações sobre a velocimetria Doppler e índices, consulte a diretriz recentemente publicada pela Sociedade Internacional de Ultrassom em Obstetrícia e Ginecologia por Bhide et al. </w:t>
      </w:r>
      <w:r w:rsidRPr="008542BE">
        <w:rPr>
          <w:rFonts w:ascii="Times New Roman" w:hAnsi="Times New Roman"/>
          <w:sz w:val="24"/>
          <w:szCs w:val="24"/>
          <w:vertAlign w:val="superscript"/>
        </w:rPr>
        <w:t>16</w:t>
      </w:r>
    </w:p>
    <w:p w:rsidR="006846B1" w:rsidRPr="008542BE" w:rsidRDefault="006846B1" w:rsidP="003F6C64">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É incontestável que há uma ligação entre a baixa impedância Doppler da artéria cerebral média e o resultado perinatal adverso. A redistribuição do fluxo sanguíneo cerebral é amplamente relatada como associada a resultados perinatais mais precários, incluindo morte fetal, maior risco de parto cesáreo, maior risco de neurodesenvolvimento anormal ao nascer e aos 2 ou 3 anos de idade. Evidências recentes de revisão sistemática e meta-análise apoiam essas descobertas. </w:t>
      </w:r>
      <w:r w:rsidRPr="008542BE">
        <w:rPr>
          <w:rFonts w:ascii="Times New Roman" w:hAnsi="Times New Roman"/>
          <w:sz w:val="24"/>
          <w:szCs w:val="24"/>
          <w:vertAlign w:val="subscript"/>
        </w:rPr>
        <w:t>17</w:t>
      </w:r>
    </w:p>
    <w:p w:rsidR="006846B1" w:rsidRPr="008542BE" w:rsidRDefault="006846B1" w:rsidP="00BD4BE2">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Os objetivos do monitoramento fetal são a prevenção da morte fetal e o parto do feto nas melhores condições possíveis. Esses objetivos só podem ser alcançados com sucesso quando as características específicas da condição fetal são levadas em consideração. Na suspeita de RCIU de início precoce, isso requer avaliação Doppler da </w:t>
      </w:r>
      <w:r>
        <w:rPr>
          <w:rFonts w:ascii="Times New Roman" w:hAnsi="Times New Roman"/>
          <w:sz w:val="24"/>
          <w:szCs w:val="24"/>
        </w:rPr>
        <w:t>artéria umbilical (</w:t>
      </w:r>
      <w:r w:rsidRPr="008542BE">
        <w:rPr>
          <w:rFonts w:ascii="Times New Roman" w:hAnsi="Times New Roman"/>
          <w:sz w:val="24"/>
          <w:szCs w:val="24"/>
        </w:rPr>
        <w:t>AU</w:t>
      </w:r>
      <w:r>
        <w:rPr>
          <w:rFonts w:ascii="Times New Roman" w:hAnsi="Times New Roman"/>
          <w:sz w:val="24"/>
          <w:szCs w:val="24"/>
        </w:rPr>
        <w:t>)</w:t>
      </w:r>
      <w:r w:rsidRPr="008542BE">
        <w:rPr>
          <w:rFonts w:ascii="Times New Roman" w:hAnsi="Times New Roman"/>
          <w:sz w:val="24"/>
          <w:szCs w:val="24"/>
        </w:rPr>
        <w:t xml:space="preserve"> e do ducto venoso, além de aumentar a frequência de vigilância quando há evidências de disfunção cardiovascular progressiva, para informar decisões sobre monitoramento hospitalar versus ambulatorial. </w:t>
      </w:r>
    </w:p>
    <w:p w:rsidR="006846B1" w:rsidRPr="008542BE" w:rsidRDefault="006846B1" w:rsidP="00BD4BE2">
      <w:pPr>
        <w:spacing w:line="276" w:lineRule="auto"/>
        <w:ind w:firstLine="708"/>
        <w:jc w:val="both"/>
        <w:rPr>
          <w:rFonts w:ascii="Times New Roman" w:hAnsi="Times New Roman"/>
          <w:sz w:val="24"/>
          <w:szCs w:val="24"/>
        </w:rPr>
      </w:pPr>
      <w:r w:rsidRPr="008542BE">
        <w:rPr>
          <w:rFonts w:ascii="Times New Roman" w:hAnsi="Times New Roman"/>
          <w:sz w:val="24"/>
          <w:szCs w:val="24"/>
        </w:rPr>
        <w:t>Na suspeita de RCIU de início tardio, o exame Doppler da artéria cerebral média e a consideração de sua proporção para a AU são necessários para tomar decisões semelhantes. Consequentemente, não avaliar esses vasos no contexto clínico específico da suspeita de RCIU de início precoce e tardio provavelmente resultará em intervalos de vigilância abaixo do ideal e possivelmente maior risco de morte fetal, já que as características que indicam deterioração iminente não são capturadas.</w:t>
      </w:r>
    </w:p>
    <w:p w:rsidR="006846B1" w:rsidRPr="008542BE" w:rsidRDefault="006846B1" w:rsidP="00BD4BE2">
      <w:pPr>
        <w:spacing w:line="276" w:lineRule="auto"/>
        <w:ind w:firstLine="708"/>
        <w:jc w:val="both"/>
        <w:rPr>
          <w:rFonts w:ascii="Times New Roman" w:hAnsi="Times New Roman"/>
          <w:sz w:val="24"/>
          <w:szCs w:val="24"/>
        </w:rPr>
      </w:pPr>
      <w:r w:rsidRPr="008542BE">
        <w:rPr>
          <w:rFonts w:ascii="Times New Roman" w:hAnsi="Times New Roman"/>
          <w:sz w:val="24"/>
          <w:szCs w:val="24"/>
        </w:rPr>
        <w:t xml:space="preserve">O momento do parto em qualquer condição que coloque o feto em risco é indicado quando o risco de permanecer no útero excede o do parto. Na suspeita de RCIU, isso equilibra as mudanças com o avanço da IG, exigindo o ajuste dos limiares de parto conforme a IG avança. </w:t>
      </w:r>
    </w:p>
    <w:p w:rsidR="006846B1" w:rsidRPr="008542BE" w:rsidRDefault="006846B1" w:rsidP="00BD4BE2">
      <w:pPr>
        <w:spacing w:line="276" w:lineRule="auto"/>
        <w:ind w:firstLine="708"/>
        <w:jc w:val="both"/>
        <w:rPr>
          <w:rFonts w:ascii="Times New Roman" w:hAnsi="Times New Roman"/>
          <w:sz w:val="24"/>
          <w:szCs w:val="24"/>
          <w:vertAlign w:val="superscript"/>
        </w:rPr>
      </w:pPr>
      <w:r w:rsidRPr="008542BE">
        <w:rPr>
          <w:rFonts w:ascii="Times New Roman" w:hAnsi="Times New Roman"/>
          <w:sz w:val="24"/>
          <w:szCs w:val="24"/>
        </w:rPr>
        <w:t xml:space="preserve">O estudo TRUFFLE de suspeita de RCIU de início precoce foi conduzido em 20 centros europeus entre 2005 e 2010, e todas as mulheres receberam vigilância usando Doppler AU e cardiotocografia computadorizada (cCTG). Neste estudo, concluiu que o momento do parto com base na medição Doppler do ducto venoso em conjunto com STV obtido de cCTG levou ao melhor resultado de longo prazo (neurodesenvolvimento aos 2 anos) em sobreviventes. Isso constitui a evidência mais forte a favor do uso do Doppler do ducto venoso combinado com cCTG para monitoramento e decisão de parto em casos de suspeita precoce de RCIU. </w:t>
      </w:r>
      <w:r w:rsidRPr="008542BE">
        <w:rPr>
          <w:rFonts w:ascii="Times New Roman" w:hAnsi="Times New Roman"/>
          <w:sz w:val="24"/>
          <w:szCs w:val="24"/>
          <w:vertAlign w:val="superscript"/>
        </w:rPr>
        <w:t>18</w:t>
      </w:r>
    </w:p>
    <w:p w:rsidR="006846B1" w:rsidRPr="008542BE" w:rsidRDefault="006846B1" w:rsidP="00BD4BE2">
      <w:pPr>
        <w:spacing w:line="276" w:lineRule="auto"/>
        <w:ind w:firstLine="708"/>
        <w:jc w:val="both"/>
        <w:rPr>
          <w:rFonts w:ascii="Times New Roman" w:hAnsi="Times New Roman"/>
          <w:sz w:val="24"/>
          <w:szCs w:val="24"/>
        </w:rPr>
      </w:pPr>
      <w:r w:rsidRPr="008542BE">
        <w:rPr>
          <w:rFonts w:ascii="Times New Roman" w:hAnsi="Times New Roman"/>
          <w:sz w:val="24"/>
          <w:szCs w:val="24"/>
        </w:rPr>
        <w:t>Conclui-se em linhas gerais de acordo com o que foi estudado que a analise das artérias uterinas o Doppler do ducto venoso no monitoramento de RCIU precoce, dão suporte à aplicação da artéria cerebral média e/ou suas proporções para AU na vigilância de RCIU tardiamente suspeita. Coletivamente, esses parâmetros Doppler podem prever a deterioração fetal e orientar intervalos de vigilância ideais e o melhor momento de interrupção da gestação.</w:t>
      </w:r>
    </w:p>
    <w:p w:rsidR="006846B1" w:rsidRPr="008542BE" w:rsidRDefault="006846B1" w:rsidP="00F76CD1">
      <w:pPr>
        <w:spacing w:line="276" w:lineRule="auto"/>
        <w:jc w:val="both"/>
        <w:rPr>
          <w:rFonts w:ascii="Times New Roman" w:hAnsi="Times New Roman"/>
          <w:sz w:val="24"/>
          <w:szCs w:val="24"/>
        </w:rPr>
      </w:pPr>
    </w:p>
    <w:p w:rsidR="006846B1" w:rsidRPr="008542BE" w:rsidRDefault="006846B1" w:rsidP="005F64C9">
      <w:pPr>
        <w:spacing w:line="276" w:lineRule="auto"/>
        <w:jc w:val="center"/>
        <w:rPr>
          <w:rFonts w:ascii="Times New Roman" w:hAnsi="Times New Roman"/>
          <w:b/>
          <w:bCs/>
          <w:sz w:val="24"/>
          <w:szCs w:val="24"/>
        </w:rPr>
      </w:pPr>
      <w:r w:rsidRPr="008542BE">
        <w:rPr>
          <w:rFonts w:ascii="Times New Roman" w:hAnsi="Times New Roman"/>
          <w:b/>
          <w:bCs/>
          <w:sz w:val="24"/>
          <w:szCs w:val="24"/>
        </w:rPr>
        <w:t>Referências bibliográficas</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eastAsia="pt-BR"/>
        </w:rPr>
        <w:t>1. McCowan LM, Figueras F, Anderson NH. </w:t>
      </w:r>
      <w:r w:rsidRPr="008542BE">
        <w:rPr>
          <w:rFonts w:ascii="Times New Roman" w:hAnsi="Times New Roman"/>
          <w:color w:val="212121"/>
          <w:kern w:val="0"/>
          <w:sz w:val="24"/>
          <w:szCs w:val="24"/>
          <w:lang w:val="en-US" w:eastAsia="pt-BR"/>
        </w:rPr>
        <w:t>Evidence-based national guidelines for the management of suspected fetal growth restriction: comparison, consensus, and controversy. </w:t>
      </w:r>
      <w:r w:rsidRPr="008542BE">
        <w:rPr>
          <w:rFonts w:ascii="Times New Roman" w:hAnsi="Times New Roman"/>
          <w:i/>
          <w:iCs/>
          <w:color w:val="212121"/>
          <w:kern w:val="0"/>
          <w:sz w:val="24"/>
          <w:szCs w:val="24"/>
          <w:lang w:val="en-US" w:eastAsia="pt-BR"/>
        </w:rPr>
        <w:t>Am J Obstet Gynecol</w:t>
      </w:r>
      <w:r w:rsidRPr="008542BE">
        <w:rPr>
          <w:rFonts w:ascii="Times New Roman" w:hAnsi="Times New Roman"/>
          <w:color w:val="212121"/>
          <w:kern w:val="0"/>
          <w:sz w:val="24"/>
          <w:szCs w:val="24"/>
          <w:lang w:val="en-US" w:eastAsia="pt-BR"/>
        </w:rPr>
        <w:t xml:space="preserve"> 2018;218:S855–68.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2. Chauhan SP, Gupta LM, Hendrix NW, Berghella V; American College of Obstetricians and Gynecologists. Intrauterine growth restriction: comparison of American College of Obstetricians and Gynecologists practice bulletin with other national guidelines. </w:t>
      </w:r>
      <w:r w:rsidRPr="008542BE">
        <w:rPr>
          <w:rFonts w:ascii="Times New Roman" w:hAnsi="Times New Roman"/>
          <w:i/>
          <w:iCs/>
          <w:color w:val="212121"/>
          <w:kern w:val="0"/>
          <w:sz w:val="24"/>
          <w:szCs w:val="24"/>
          <w:lang w:val="en-US" w:eastAsia="pt-BR"/>
        </w:rPr>
        <w:t>Am J Obstet Gynecol</w:t>
      </w:r>
      <w:r w:rsidRPr="008542BE">
        <w:rPr>
          <w:rFonts w:ascii="Times New Roman" w:hAnsi="Times New Roman"/>
          <w:color w:val="212121"/>
          <w:kern w:val="0"/>
          <w:sz w:val="24"/>
          <w:szCs w:val="24"/>
          <w:lang w:val="en-US" w:eastAsia="pt-BR"/>
        </w:rPr>
        <w:t xml:space="preserve"> 2009;200:409.e1–6.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3. Society for Maternal-Fetal Medicine, Martins JG, Biggio JR, Abuhamad A. Society for Maternal-Fetal Medicine Consult Series #52: diagnosis and management of fetal growth restriction: (replaces clinical guideline number 3, April 2012). </w:t>
      </w:r>
      <w:r w:rsidRPr="008542BE">
        <w:rPr>
          <w:rFonts w:ascii="Times New Roman" w:hAnsi="Times New Roman"/>
          <w:i/>
          <w:iCs/>
          <w:color w:val="212121"/>
          <w:kern w:val="0"/>
          <w:sz w:val="24"/>
          <w:szCs w:val="24"/>
          <w:lang w:val="en-US" w:eastAsia="pt-BR"/>
        </w:rPr>
        <w:t>Am J Obstet Gynecol</w:t>
      </w:r>
      <w:r w:rsidRPr="008542BE">
        <w:rPr>
          <w:rFonts w:ascii="Times New Roman" w:hAnsi="Times New Roman"/>
          <w:color w:val="212121"/>
          <w:kern w:val="0"/>
          <w:sz w:val="24"/>
          <w:szCs w:val="24"/>
          <w:lang w:val="en-US" w:eastAsia="pt-BR"/>
        </w:rPr>
        <w:t xml:space="preserve"> 2020;223: B2–17.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4. Lees CC, Stampalija T, Baschat A, et al. ISUOG Practice Guidelines: diagnosis and management of small-for-gestational-age fetus and fetal growth restriction. </w:t>
      </w:r>
      <w:r w:rsidRPr="008542BE">
        <w:rPr>
          <w:rFonts w:ascii="Times New Roman" w:hAnsi="Times New Roman"/>
          <w:i/>
          <w:iCs/>
          <w:color w:val="212121"/>
          <w:kern w:val="0"/>
          <w:sz w:val="24"/>
          <w:szCs w:val="24"/>
          <w:lang w:val="en-US" w:eastAsia="pt-BR"/>
        </w:rPr>
        <w:t>Ultrasound Obstet Gynecol</w:t>
      </w:r>
      <w:r w:rsidRPr="008542BE">
        <w:rPr>
          <w:rFonts w:ascii="Times New Roman" w:hAnsi="Times New Roman"/>
          <w:color w:val="212121"/>
          <w:kern w:val="0"/>
          <w:sz w:val="24"/>
          <w:szCs w:val="24"/>
          <w:lang w:val="en-US" w:eastAsia="pt-BR"/>
        </w:rPr>
        <w:t xml:space="preserve"> 2020;56:298–312.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5. Gordijn SJ, Beune IM, Thilaganathan B, et al. Consensus definition of fetal growth restriction: a Delphi procedure. </w:t>
      </w:r>
      <w:r w:rsidRPr="008542BE">
        <w:rPr>
          <w:rFonts w:ascii="Times New Roman" w:hAnsi="Times New Roman"/>
          <w:i/>
          <w:iCs/>
          <w:color w:val="212121"/>
          <w:kern w:val="0"/>
          <w:sz w:val="24"/>
          <w:szCs w:val="24"/>
          <w:lang w:val="en-US" w:eastAsia="pt-BR"/>
        </w:rPr>
        <w:t>Ultrasound Obstet Gynecol</w:t>
      </w:r>
      <w:r w:rsidRPr="008542BE">
        <w:rPr>
          <w:rFonts w:ascii="Times New Roman" w:hAnsi="Times New Roman"/>
          <w:color w:val="212121"/>
          <w:kern w:val="0"/>
          <w:sz w:val="24"/>
          <w:szCs w:val="24"/>
          <w:lang w:val="en-US" w:eastAsia="pt-BR"/>
        </w:rPr>
        <w:t xml:space="preserve"> 2016;48:333–9.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6. Hadlock FP, Harrist RB, Martinez-Poyer J. In utero analysis of fetal growth: a sonographic weight standard. </w:t>
      </w:r>
      <w:r w:rsidRPr="008542BE">
        <w:rPr>
          <w:rFonts w:ascii="Times New Roman" w:hAnsi="Times New Roman"/>
          <w:i/>
          <w:iCs/>
          <w:color w:val="212121"/>
          <w:kern w:val="0"/>
          <w:sz w:val="24"/>
          <w:szCs w:val="24"/>
          <w:lang w:val="en-US" w:eastAsia="pt-BR"/>
        </w:rPr>
        <w:t>Radiology</w:t>
      </w:r>
      <w:r w:rsidRPr="008542BE">
        <w:rPr>
          <w:rFonts w:ascii="Times New Roman" w:hAnsi="Times New Roman"/>
          <w:color w:val="212121"/>
          <w:kern w:val="0"/>
          <w:sz w:val="24"/>
          <w:szCs w:val="24"/>
          <w:lang w:val="en-US" w:eastAsia="pt-BR"/>
        </w:rPr>
        <w:t xml:space="preserve"> 1991;181:129–33.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7. Battaglia FC, Lubchenco LO. A practical classification of newborn infants by weight and gestational age. </w:t>
      </w:r>
      <w:r w:rsidRPr="008542BE">
        <w:rPr>
          <w:rFonts w:ascii="Times New Roman" w:hAnsi="Times New Roman"/>
          <w:i/>
          <w:iCs/>
          <w:color w:val="212121"/>
          <w:kern w:val="0"/>
          <w:sz w:val="24"/>
          <w:szCs w:val="24"/>
          <w:lang w:val="en-US" w:eastAsia="pt-BR"/>
        </w:rPr>
        <w:t>J Pediatr</w:t>
      </w:r>
      <w:r w:rsidRPr="008542BE">
        <w:rPr>
          <w:rFonts w:ascii="Times New Roman" w:hAnsi="Times New Roman"/>
          <w:color w:val="212121"/>
          <w:kern w:val="0"/>
          <w:sz w:val="24"/>
          <w:szCs w:val="24"/>
          <w:lang w:val="en-US" w:eastAsia="pt-BR"/>
        </w:rPr>
        <w:t xml:space="preserve"> 1967;71:159–63.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8. Arcangeli T, Thilaganathan B, Hooper R, Khan KS, Bhide A. Neurodevelopmental delay in small babies at term: a systematic review. </w:t>
      </w:r>
      <w:r w:rsidRPr="008542BE">
        <w:rPr>
          <w:rFonts w:ascii="Times New Roman" w:hAnsi="Times New Roman"/>
          <w:i/>
          <w:iCs/>
          <w:color w:val="212121"/>
          <w:kern w:val="0"/>
          <w:sz w:val="24"/>
          <w:szCs w:val="24"/>
          <w:lang w:val="en-US" w:eastAsia="pt-BR"/>
        </w:rPr>
        <w:t>Ultrasound Obstet Gynecol</w:t>
      </w:r>
      <w:r w:rsidRPr="008542BE">
        <w:rPr>
          <w:rFonts w:ascii="Times New Roman" w:hAnsi="Times New Roman"/>
          <w:color w:val="212121"/>
          <w:kern w:val="0"/>
          <w:sz w:val="24"/>
          <w:szCs w:val="24"/>
          <w:lang w:val="en-US" w:eastAsia="pt-BR"/>
        </w:rPr>
        <w:t xml:space="preserve"> 2012;40:267–75.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9. Vasak B, Koenen SV, Koster MP, et al. Human fetal growth is constrained below optimal for perinatal survival. </w:t>
      </w:r>
      <w:r w:rsidRPr="008542BE">
        <w:rPr>
          <w:rFonts w:ascii="Times New Roman" w:hAnsi="Times New Roman"/>
          <w:i/>
          <w:iCs/>
          <w:color w:val="212121"/>
          <w:kern w:val="0"/>
          <w:sz w:val="24"/>
          <w:szCs w:val="24"/>
          <w:lang w:val="en-US" w:eastAsia="pt-BR"/>
        </w:rPr>
        <w:t>Ultrasound Obstet Gynecol</w:t>
      </w:r>
      <w:r w:rsidRPr="008542BE">
        <w:rPr>
          <w:rFonts w:ascii="Times New Roman" w:hAnsi="Times New Roman"/>
          <w:color w:val="212121"/>
          <w:kern w:val="0"/>
          <w:sz w:val="24"/>
          <w:szCs w:val="24"/>
          <w:lang w:val="en-US" w:eastAsia="pt-BR"/>
        </w:rPr>
        <w:t xml:space="preserve"> 2015;45:162–7.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nl-NL" w:eastAsia="pt-BR"/>
        </w:rPr>
      </w:pPr>
      <w:r w:rsidRPr="008542BE">
        <w:rPr>
          <w:rFonts w:ascii="Times New Roman" w:hAnsi="Times New Roman"/>
          <w:color w:val="212121"/>
          <w:kern w:val="0"/>
          <w:sz w:val="24"/>
          <w:szCs w:val="24"/>
          <w:lang w:val="en-US" w:eastAsia="pt-BR"/>
        </w:rPr>
        <w:t>10. McIntire DD, Bloom SL, Casey BM, Leveno KJ. Birth weight in relation to morbidity and mortality among newborn infants. </w:t>
      </w:r>
      <w:r w:rsidRPr="008542BE">
        <w:rPr>
          <w:rFonts w:ascii="Times New Roman" w:hAnsi="Times New Roman"/>
          <w:i/>
          <w:iCs/>
          <w:color w:val="212121"/>
          <w:kern w:val="0"/>
          <w:sz w:val="24"/>
          <w:szCs w:val="24"/>
          <w:lang w:val="nl-NL" w:eastAsia="pt-BR"/>
        </w:rPr>
        <w:t>N Engl J Med</w:t>
      </w:r>
      <w:r w:rsidRPr="008542BE">
        <w:rPr>
          <w:rFonts w:ascii="Times New Roman" w:hAnsi="Times New Roman"/>
          <w:color w:val="212121"/>
          <w:kern w:val="0"/>
          <w:sz w:val="24"/>
          <w:szCs w:val="24"/>
          <w:lang w:val="nl-NL" w:eastAsia="pt-BR"/>
        </w:rPr>
        <w:t xml:space="preserve"> 1999;340:1234–8.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nl-NL" w:eastAsia="pt-BR"/>
        </w:rPr>
        <w:t>11. Unterscheider J, Daly S, Geary MP, et al. </w:t>
      </w:r>
      <w:r w:rsidRPr="008542BE">
        <w:rPr>
          <w:rFonts w:ascii="Times New Roman" w:hAnsi="Times New Roman"/>
          <w:color w:val="212121"/>
          <w:kern w:val="0"/>
          <w:sz w:val="24"/>
          <w:szCs w:val="24"/>
          <w:lang w:val="en-US" w:eastAsia="pt-BR"/>
        </w:rPr>
        <w:t>Optimizing the definition of intrauterine growth restriction: the multicenter prospective PORTO study. </w:t>
      </w:r>
      <w:r w:rsidRPr="008542BE">
        <w:rPr>
          <w:rFonts w:ascii="Times New Roman" w:hAnsi="Times New Roman"/>
          <w:i/>
          <w:iCs/>
          <w:color w:val="212121"/>
          <w:kern w:val="0"/>
          <w:sz w:val="24"/>
          <w:szCs w:val="24"/>
          <w:lang w:val="en-US" w:eastAsia="pt-BR"/>
        </w:rPr>
        <w:t>Am J Obstet Gynecol</w:t>
      </w:r>
      <w:r w:rsidRPr="008542BE">
        <w:rPr>
          <w:rFonts w:ascii="Times New Roman" w:hAnsi="Times New Roman"/>
          <w:color w:val="212121"/>
          <w:kern w:val="0"/>
          <w:sz w:val="24"/>
          <w:szCs w:val="24"/>
          <w:lang w:val="en-US" w:eastAsia="pt-BR"/>
        </w:rPr>
        <w:t xml:space="preserve"> 2013;208:290. e1–6.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12. Pilliod RA, Cheng YW, Snowden JM, Doss AE, Caughey AB. The risk of intrauterine fetal death in the small-for-gestational-age fetus. </w:t>
      </w:r>
      <w:r w:rsidRPr="008542BE">
        <w:rPr>
          <w:rFonts w:ascii="Times New Roman" w:hAnsi="Times New Roman"/>
          <w:i/>
          <w:iCs/>
          <w:color w:val="212121"/>
          <w:kern w:val="0"/>
          <w:sz w:val="24"/>
          <w:szCs w:val="24"/>
          <w:lang w:val="en-US" w:eastAsia="pt-BR"/>
        </w:rPr>
        <w:t>Am J Obstet Gynecol</w:t>
      </w:r>
      <w:r w:rsidRPr="008542BE">
        <w:rPr>
          <w:rFonts w:ascii="Times New Roman" w:hAnsi="Times New Roman"/>
          <w:color w:val="212121"/>
          <w:kern w:val="0"/>
          <w:sz w:val="24"/>
          <w:szCs w:val="24"/>
          <w:lang w:val="en-US" w:eastAsia="pt-BR"/>
        </w:rPr>
        <w:t> 2012;207:318.e1–6.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8542BE">
        <w:rPr>
          <w:rFonts w:ascii="Times New Roman" w:hAnsi="Times New Roman"/>
          <w:color w:val="212121"/>
          <w:kern w:val="0"/>
          <w:sz w:val="24"/>
          <w:szCs w:val="24"/>
          <w:lang w:val="en-US" w:eastAsia="pt-BR"/>
        </w:rPr>
        <w:t>13. Trudell AS, Cahill AG, Tuuli MG, Macones GA, Odibo AO. Risk of stillbirth after 37 weeks in pregnancies complicated by small-for-gestational-age fetuses. </w:t>
      </w:r>
      <w:r w:rsidRPr="008542BE">
        <w:rPr>
          <w:rFonts w:ascii="Times New Roman" w:hAnsi="Times New Roman"/>
          <w:i/>
          <w:iCs/>
          <w:color w:val="212121"/>
          <w:kern w:val="0"/>
          <w:sz w:val="24"/>
          <w:szCs w:val="24"/>
          <w:lang w:val="en-US" w:eastAsia="pt-BR"/>
        </w:rPr>
        <w:t>Am J Obstet Gynecol</w:t>
      </w:r>
      <w:r w:rsidRPr="008542BE">
        <w:rPr>
          <w:rFonts w:ascii="Times New Roman" w:hAnsi="Times New Roman"/>
          <w:color w:val="212121"/>
          <w:kern w:val="0"/>
          <w:sz w:val="24"/>
          <w:szCs w:val="24"/>
          <w:lang w:val="en-US" w:eastAsia="pt-BR"/>
        </w:rPr>
        <w:t xml:space="preserve"> 2013;208:376.e1–7. </w:t>
      </w:r>
    </w:p>
    <w:p w:rsidR="006846B1" w:rsidRPr="008542BE" w:rsidRDefault="006846B1" w:rsidP="005F64C9">
      <w:pPr>
        <w:shd w:val="clear" w:color="auto" w:fill="FFFFFF"/>
        <w:spacing w:line="240" w:lineRule="auto"/>
        <w:jc w:val="both"/>
        <w:rPr>
          <w:rFonts w:ascii="Times New Roman" w:hAnsi="Times New Roman"/>
          <w:color w:val="212121"/>
          <w:kern w:val="0"/>
          <w:sz w:val="24"/>
          <w:szCs w:val="24"/>
          <w:lang w:val="en-US" w:eastAsia="pt-BR"/>
        </w:rPr>
      </w:pPr>
      <w:r w:rsidRPr="00B53936">
        <w:rPr>
          <w:rFonts w:ascii="Times New Roman" w:hAnsi="Times New Roman"/>
          <w:color w:val="212121"/>
          <w:kern w:val="0"/>
          <w:sz w:val="24"/>
          <w:szCs w:val="24"/>
          <w:lang w:val="nl-NL" w:eastAsia="pt-BR"/>
        </w:rPr>
        <w:t>14. van Wyk L, Boers KE, van der Post JA, et al. </w:t>
      </w:r>
      <w:r w:rsidRPr="008542BE">
        <w:rPr>
          <w:rFonts w:ascii="Times New Roman" w:hAnsi="Times New Roman"/>
          <w:color w:val="212121"/>
          <w:kern w:val="0"/>
          <w:sz w:val="24"/>
          <w:szCs w:val="24"/>
          <w:lang w:val="en-US" w:eastAsia="pt-BR"/>
        </w:rPr>
        <w:t>Effects on (neuro) developmental and behavioral outcome at 2 years of age of induced labor compared with expectant management in intrauterine growth-restricted infants: long-term outcomes of the DIGITAT trial. </w:t>
      </w:r>
      <w:r w:rsidRPr="008542BE">
        <w:rPr>
          <w:rFonts w:ascii="Times New Roman" w:hAnsi="Times New Roman"/>
          <w:i/>
          <w:iCs/>
          <w:color w:val="212121"/>
          <w:kern w:val="0"/>
          <w:sz w:val="24"/>
          <w:szCs w:val="24"/>
          <w:lang w:val="en-US" w:eastAsia="pt-BR"/>
        </w:rPr>
        <w:t>Am J Obstet Gynecol</w:t>
      </w:r>
      <w:r w:rsidRPr="008542BE">
        <w:rPr>
          <w:rFonts w:ascii="Times New Roman" w:hAnsi="Times New Roman"/>
          <w:color w:val="212121"/>
          <w:kern w:val="0"/>
          <w:sz w:val="24"/>
          <w:szCs w:val="24"/>
          <w:lang w:val="en-US" w:eastAsia="pt-BR"/>
        </w:rPr>
        <w:t> 2012;206:406.e1–7.</w:t>
      </w:r>
    </w:p>
    <w:p w:rsidR="006846B1" w:rsidRPr="008542BE" w:rsidRDefault="006846B1" w:rsidP="005F64C9">
      <w:pPr>
        <w:spacing w:line="240" w:lineRule="auto"/>
        <w:jc w:val="both"/>
        <w:rPr>
          <w:rFonts w:ascii="Times New Roman" w:hAnsi="Times New Roman"/>
          <w:color w:val="212121"/>
          <w:sz w:val="24"/>
          <w:szCs w:val="24"/>
          <w:shd w:val="clear" w:color="auto" w:fill="FFFFFF"/>
          <w:lang w:val="en-US"/>
        </w:rPr>
      </w:pPr>
      <w:r w:rsidRPr="008542BE">
        <w:rPr>
          <w:rFonts w:ascii="Times New Roman" w:hAnsi="Times New Roman"/>
          <w:sz w:val="24"/>
          <w:szCs w:val="24"/>
          <w:lang w:val="en-US"/>
        </w:rPr>
        <w:t xml:space="preserve">15. </w:t>
      </w:r>
      <w:r w:rsidRPr="008542BE">
        <w:rPr>
          <w:rFonts w:ascii="Times New Roman" w:hAnsi="Times New Roman"/>
          <w:color w:val="212121"/>
          <w:sz w:val="24"/>
          <w:szCs w:val="24"/>
          <w:shd w:val="clear" w:color="auto" w:fill="FFFFFF"/>
          <w:lang w:val="en-US"/>
        </w:rPr>
        <w:t>Lees CC, Romero R, Stampalija T, et al. Clinical Opinion: The diagnosis and management of suspected fetal growth restriction: an evidence-based approach. </w:t>
      </w:r>
      <w:r w:rsidRPr="008542BE">
        <w:rPr>
          <w:rFonts w:ascii="Times New Roman" w:hAnsi="Times New Roman"/>
          <w:i/>
          <w:iCs/>
          <w:color w:val="212121"/>
          <w:sz w:val="24"/>
          <w:szCs w:val="24"/>
          <w:shd w:val="clear" w:color="auto" w:fill="FFFFFF"/>
          <w:lang w:val="en-US"/>
        </w:rPr>
        <w:t>Am J Obstet Gynecol</w:t>
      </w:r>
      <w:r w:rsidRPr="008542BE">
        <w:rPr>
          <w:rFonts w:ascii="Times New Roman" w:hAnsi="Times New Roman"/>
          <w:color w:val="212121"/>
          <w:sz w:val="24"/>
          <w:szCs w:val="24"/>
          <w:shd w:val="clear" w:color="auto" w:fill="FFFFFF"/>
          <w:lang w:val="en-US"/>
        </w:rPr>
        <w:t xml:space="preserve">. 2022;226(3):366-378. </w:t>
      </w:r>
    </w:p>
    <w:p w:rsidR="006846B1" w:rsidRPr="008542BE" w:rsidRDefault="006846B1" w:rsidP="005F64C9">
      <w:pPr>
        <w:spacing w:line="240" w:lineRule="auto"/>
        <w:jc w:val="both"/>
        <w:rPr>
          <w:rFonts w:ascii="Times New Roman" w:hAnsi="Times New Roman"/>
          <w:color w:val="212121"/>
          <w:sz w:val="24"/>
          <w:szCs w:val="24"/>
          <w:shd w:val="clear" w:color="auto" w:fill="FFFFFF"/>
          <w:lang w:val="en-US"/>
        </w:rPr>
      </w:pPr>
      <w:r w:rsidRPr="008542BE">
        <w:rPr>
          <w:rFonts w:ascii="Times New Roman" w:hAnsi="Times New Roman"/>
          <w:color w:val="212121"/>
          <w:sz w:val="24"/>
          <w:szCs w:val="24"/>
          <w:shd w:val="clear" w:color="auto" w:fill="FFFFFF"/>
          <w:lang w:val="en-US"/>
        </w:rPr>
        <w:t>16. Bhide A, Acharya G, Baschat A, et al. </w:t>
      </w:r>
      <w:r w:rsidRPr="008542BE">
        <w:rPr>
          <w:rStyle w:val="ref-title"/>
          <w:rFonts w:ascii="Times New Roman" w:hAnsi="Times New Roman"/>
          <w:color w:val="212121"/>
          <w:sz w:val="24"/>
          <w:szCs w:val="24"/>
          <w:shd w:val="clear" w:color="auto" w:fill="FFFFFF"/>
          <w:lang w:val="en-US"/>
        </w:rPr>
        <w:t>ISUOG Practice Guidelines (updated): use of Doppler velocimetry in obstetrics</w:t>
      </w:r>
      <w:r w:rsidRPr="008542BE">
        <w:rPr>
          <w:rFonts w:ascii="Times New Roman" w:hAnsi="Times New Roman"/>
          <w:color w:val="212121"/>
          <w:sz w:val="24"/>
          <w:szCs w:val="24"/>
          <w:shd w:val="clear" w:color="auto" w:fill="FFFFFF"/>
          <w:lang w:val="en-US"/>
        </w:rPr>
        <w:t>. </w:t>
      </w:r>
      <w:r w:rsidRPr="008542BE">
        <w:rPr>
          <w:rStyle w:val="ref-journal"/>
          <w:rFonts w:ascii="Times New Roman" w:hAnsi="Times New Roman"/>
          <w:i/>
          <w:iCs/>
          <w:color w:val="212121"/>
          <w:sz w:val="24"/>
          <w:szCs w:val="24"/>
          <w:shd w:val="clear" w:color="auto" w:fill="FFFFFF"/>
          <w:lang w:val="en-US"/>
        </w:rPr>
        <w:t>Ultrasound Obstet Gynecol</w:t>
      </w:r>
      <w:r w:rsidRPr="008542BE">
        <w:rPr>
          <w:rFonts w:ascii="Times New Roman" w:hAnsi="Times New Roman"/>
          <w:color w:val="212121"/>
          <w:sz w:val="24"/>
          <w:szCs w:val="24"/>
          <w:shd w:val="clear" w:color="auto" w:fill="FFFFFF"/>
          <w:lang w:val="en-US"/>
        </w:rPr>
        <w:t> 2021;</w:t>
      </w:r>
      <w:r w:rsidRPr="008542BE">
        <w:rPr>
          <w:rStyle w:val="ref-vol"/>
          <w:rFonts w:ascii="Times New Roman" w:hAnsi="Times New Roman"/>
          <w:color w:val="212121"/>
          <w:sz w:val="24"/>
          <w:szCs w:val="24"/>
          <w:shd w:val="clear" w:color="auto" w:fill="FFFFFF"/>
          <w:lang w:val="en-US"/>
        </w:rPr>
        <w:t>58</w:t>
      </w:r>
      <w:r w:rsidRPr="008542BE">
        <w:rPr>
          <w:rFonts w:ascii="Times New Roman" w:hAnsi="Times New Roman"/>
          <w:color w:val="212121"/>
          <w:sz w:val="24"/>
          <w:szCs w:val="24"/>
          <w:shd w:val="clear" w:color="auto" w:fill="FFFFFF"/>
          <w:lang w:val="en-US"/>
        </w:rPr>
        <w:t>:331–9.</w:t>
      </w:r>
    </w:p>
    <w:p w:rsidR="006846B1" w:rsidRPr="008542BE" w:rsidRDefault="006846B1" w:rsidP="005F64C9">
      <w:pPr>
        <w:spacing w:line="240" w:lineRule="auto"/>
        <w:jc w:val="both"/>
        <w:rPr>
          <w:rStyle w:val="mixed-citation"/>
          <w:rFonts w:ascii="Times New Roman" w:hAnsi="Times New Roman"/>
          <w:color w:val="212121"/>
          <w:sz w:val="24"/>
          <w:szCs w:val="24"/>
          <w:shd w:val="clear" w:color="auto" w:fill="FFFFFF"/>
          <w:lang w:val="en-US"/>
        </w:rPr>
      </w:pPr>
      <w:r w:rsidRPr="008542BE">
        <w:rPr>
          <w:rFonts w:ascii="Times New Roman" w:hAnsi="Times New Roman"/>
          <w:color w:val="212121"/>
          <w:sz w:val="24"/>
          <w:szCs w:val="24"/>
          <w:shd w:val="clear" w:color="auto" w:fill="FFFFFF"/>
          <w:lang w:val="en-US"/>
        </w:rPr>
        <w:t>17. </w:t>
      </w:r>
      <w:r w:rsidRPr="008542BE">
        <w:rPr>
          <w:rStyle w:val="mixed-citation"/>
          <w:rFonts w:ascii="Times New Roman" w:hAnsi="Times New Roman"/>
          <w:color w:val="212121"/>
          <w:sz w:val="24"/>
          <w:szCs w:val="24"/>
          <w:shd w:val="clear" w:color="auto" w:fill="FFFFFF"/>
          <w:lang w:val="en-US"/>
        </w:rPr>
        <w:t>van Wyk L, Boers KE, van der Post JA, et al. </w:t>
      </w:r>
      <w:r w:rsidRPr="008542BE">
        <w:rPr>
          <w:rStyle w:val="ref-title"/>
          <w:rFonts w:ascii="Times New Roman" w:hAnsi="Times New Roman"/>
          <w:color w:val="212121"/>
          <w:sz w:val="24"/>
          <w:szCs w:val="24"/>
          <w:shd w:val="clear" w:color="auto" w:fill="FFFFFF"/>
          <w:lang w:val="en-US"/>
        </w:rPr>
        <w:t>Effects on (neuro) developmental and behavioral outcome at 2 years of age of induced labor compared with expectant management in intrauterine growth-restricted infants: long-term outcomes of the DIGITAT trial</w:t>
      </w:r>
      <w:r w:rsidRPr="008542BE">
        <w:rPr>
          <w:rStyle w:val="mixed-citation"/>
          <w:rFonts w:ascii="Times New Roman" w:hAnsi="Times New Roman"/>
          <w:color w:val="212121"/>
          <w:sz w:val="24"/>
          <w:szCs w:val="24"/>
          <w:shd w:val="clear" w:color="auto" w:fill="FFFFFF"/>
          <w:lang w:val="en-US"/>
        </w:rPr>
        <w:t>. </w:t>
      </w:r>
      <w:r w:rsidRPr="008542BE">
        <w:rPr>
          <w:rStyle w:val="ref-journal"/>
          <w:rFonts w:ascii="Times New Roman" w:hAnsi="Times New Roman"/>
          <w:i/>
          <w:iCs/>
          <w:color w:val="212121"/>
          <w:sz w:val="24"/>
          <w:szCs w:val="24"/>
          <w:shd w:val="clear" w:color="auto" w:fill="FFFFFF"/>
          <w:lang w:val="en-US"/>
        </w:rPr>
        <w:t>Am J Obstet Gynecol</w:t>
      </w:r>
      <w:r w:rsidRPr="008542BE">
        <w:rPr>
          <w:rStyle w:val="mixed-citation"/>
          <w:rFonts w:ascii="Times New Roman" w:hAnsi="Times New Roman"/>
          <w:color w:val="212121"/>
          <w:sz w:val="24"/>
          <w:szCs w:val="24"/>
          <w:shd w:val="clear" w:color="auto" w:fill="FFFFFF"/>
          <w:lang w:val="en-US"/>
        </w:rPr>
        <w:t> 2012;</w:t>
      </w:r>
      <w:r w:rsidRPr="008542BE">
        <w:rPr>
          <w:rStyle w:val="ref-vol"/>
          <w:rFonts w:ascii="Times New Roman" w:hAnsi="Times New Roman"/>
          <w:color w:val="212121"/>
          <w:sz w:val="24"/>
          <w:szCs w:val="24"/>
          <w:shd w:val="clear" w:color="auto" w:fill="FFFFFF"/>
          <w:lang w:val="en-US"/>
        </w:rPr>
        <w:t xml:space="preserve"> 206:406</w:t>
      </w:r>
      <w:r w:rsidRPr="008542BE">
        <w:rPr>
          <w:rStyle w:val="mixed-citation"/>
          <w:rFonts w:ascii="Times New Roman" w:hAnsi="Times New Roman"/>
          <w:color w:val="212121"/>
          <w:sz w:val="24"/>
          <w:szCs w:val="24"/>
          <w:shd w:val="clear" w:color="auto" w:fill="FFFFFF"/>
          <w:lang w:val="en-US"/>
        </w:rPr>
        <w:t>.e1–7. </w:t>
      </w:r>
    </w:p>
    <w:p w:rsidR="006846B1" w:rsidRPr="008542BE" w:rsidRDefault="006846B1" w:rsidP="005F64C9">
      <w:pPr>
        <w:spacing w:line="240" w:lineRule="auto"/>
        <w:jc w:val="both"/>
        <w:rPr>
          <w:rFonts w:ascii="Times New Roman" w:hAnsi="Times New Roman"/>
          <w:color w:val="212121"/>
          <w:sz w:val="24"/>
          <w:szCs w:val="24"/>
          <w:shd w:val="clear" w:color="auto" w:fill="FFFFFF"/>
        </w:rPr>
      </w:pPr>
      <w:r w:rsidRPr="00B53936">
        <w:rPr>
          <w:rFonts w:ascii="Times New Roman" w:hAnsi="Times New Roman"/>
          <w:color w:val="212121"/>
          <w:sz w:val="24"/>
          <w:szCs w:val="24"/>
          <w:shd w:val="clear" w:color="auto" w:fill="FFFFFF"/>
          <w:lang w:val="en-US"/>
        </w:rPr>
        <w:t>18. Visser GHA, Bilardo CM, Derks JB, et al. </w:t>
      </w:r>
      <w:r w:rsidRPr="008542BE">
        <w:rPr>
          <w:rStyle w:val="ref-title"/>
          <w:rFonts w:ascii="Times New Roman" w:hAnsi="Times New Roman"/>
          <w:color w:val="212121"/>
          <w:sz w:val="24"/>
          <w:szCs w:val="24"/>
          <w:shd w:val="clear" w:color="auto" w:fill="FFFFFF"/>
          <w:lang w:val="en-US"/>
        </w:rPr>
        <w:t>Fetal monitoring indications for delivery and 2-year outcome in 310 infants with fetal growth restriction delivered before 32 weeks’ gestation in the TRUFFLE study</w:t>
      </w:r>
      <w:r w:rsidRPr="008542BE">
        <w:rPr>
          <w:rFonts w:ascii="Times New Roman" w:hAnsi="Times New Roman"/>
          <w:color w:val="212121"/>
          <w:sz w:val="24"/>
          <w:szCs w:val="24"/>
          <w:shd w:val="clear" w:color="auto" w:fill="FFFFFF"/>
          <w:lang w:val="en-US"/>
        </w:rPr>
        <w:t>. </w:t>
      </w:r>
      <w:r w:rsidRPr="008542BE">
        <w:rPr>
          <w:rStyle w:val="ref-journal"/>
          <w:rFonts w:ascii="Times New Roman" w:hAnsi="Times New Roman"/>
          <w:i/>
          <w:iCs/>
          <w:color w:val="212121"/>
          <w:sz w:val="24"/>
          <w:szCs w:val="24"/>
          <w:shd w:val="clear" w:color="auto" w:fill="FFFFFF"/>
        </w:rPr>
        <w:t>Ultrasound Obstet Gynecol</w:t>
      </w:r>
      <w:r w:rsidRPr="008542BE">
        <w:rPr>
          <w:rFonts w:ascii="Times New Roman" w:hAnsi="Times New Roman"/>
          <w:color w:val="212121"/>
          <w:sz w:val="24"/>
          <w:szCs w:val="24"/>
          <w:shd w:val="clear" w:color="auto" w:fill="FFFFFF"/>
        </w:rPr>
        <w:t> 2017;</w:t>
      </w:r>
      <w:r w:rsidRPr="008542BE">
        <w:rPr>
          <w:rStyle w:val="ref-vol"/>
          <w:rFonts w:ascii="Times New Roman" w:hAnsi="Times New Roman"/>
          <w:color w:val="212121"/>
          <w:sz w:val="24"/>
          <w:szCs w:val="24"/>
          <w:shd w:val="clear" w:color="auto" w:fill="FFFFFF"/>
        </w:rPr>
        <w:t>50</w:t>
      </w:r>
      <w:r w:rsidRPr="008542BE">
        <w:rPr>
          <w:rFonts w:ascii="Times New Roman" w:hAnsi="Times New Roman"/>
          <w:color w:val="212121"/>
          <w:sz w:val="24"/>
          <w:szCs w:val="24"/>
          <w:shd w:val="clear" w:color="auto" w:fill="FFFFFF"/>
        </w:rPr>
        <w:t>:347–52.</w:t>
      </w:r>
    </w:p>
    <w:p w:rsidR="006846B1" w:rsidRDefault="006846B1" w:rsidP="005F64C9">
      <w:pPr>
        <w:spacing w:line="240" w:lineRule="auto"/>
        <w:jc w:val="both"/>
        <w:rPr>
          <w:rFonts w:ascii="Aptos Display" w:hAnsi="Aptos Display"/>
          <w:color w:val="212121"/>
          <w:sz w:val="24"/>
          <w:szCs w:val="24"/>
          <w:shd w:val="clear" w:color="auto" w:fill="FFFFFF"/>
        </w:rPr>
      </w:pPr>
    </w:p>
    <w:p w:rsidR="006846B1" w:rsidRPr="007E20E7" w:rsidRDefault="006846B1" w:rsidP="00424927">
      <w:pPr>
        <w:spacing w:after="0" w:line="360" w:lineRule="auto"/>
        <w:jc w:val="center"/>
        <w:rPr>
          <w:rFonts w:ascii="Alien Encounters" w:hAnsi="Alien Encounters"/>
          <w:b/>
          <w:bCs/>
          <w:color w:val="008000"/>
          <w:sz w:val="36"/>
          <w:szCs w:val="36"/>
        </w:rPr>
      </w:pPr>
      <w:r>
        <w:rPr>
          <w:noProof/>
          <w:lang w:eastAsia="pt-BR"/>
        </w:rPr>
        <w:pict>
          <v:shape id="_x0000_s1027" type="#_x0000_t75" style="position:absolute;left:0;text-align:left;margin-left:81pt;margin-top:90pt;width:262.6pt;height:189pt;z-index:251659264">
            <v:imagedata r:id="rId6" o:title="" gain="86232f" blacklevel="1966f"/>
          </v:shape>
        </w:pict>
      </w:r>
      <w:r w:rsidRPr="007E20E7">
        <w:rPr>
          <w:rFonts w:ascii="Alien Encounters" w:hAnsi="Alien Encounters"/>
          <w:b/>
          <w:bCs/>
          <w:color w:val="008000"/>
          <w:sz w:val="36"/>
          <w:szCs w:val="36"/>
        </w:rPr>
        <w:t>NOTA DO EDITOR DA P</w:t>
      </w:r>
      <w:r w:rsidRPr="007E20E7">
        <w:rPr>
          <w:rFonts w:ascii="Times New Roman" w:hAnsi="Times New Roman"/>
          <w:b/>
          <w:bCs/>
          <w:color w:val="008000"/>
          <w:sz w:val="36"/>
          <w:szCs w:val="36"/>
        </w:rPr>
        <w:t>Á</w:t>
      </w:r>
      <w:r w:rsidRPr="007E20E7">
        <w:rPr>
          <w:rFonts w:ascii="Alien Encounters" w:hAnsi="Alien Encounters"/>
          <w:b/>
          <w:bCs/>
          <w:color w:val="008000"/>
          <w:sz w:val="36"/>
          <w:szCs w:val="36"/>
        </w:rPr>
        <w:t xml:space="preserve">GINA NEONATAL </w:t>
      </w:r>
      <w:hyperlink r:id="rId7" w:history="1">
        <w:r w:rsidRPr="007E20E7">
          <w:rPr>
            <w:rStyle w:val="Hyperlink"/>
            <w:rFonts w:ascii="Alien Encounters" w:hAnsi="Alien Encounters"/>
            <w:b/>
            <w:bCs/>
            <w:color w:val="008000"/>
            <w:sz w:val="36"/>
            <w:szCs w:val="36"/>
          </w:rPr>
          <w:t>WWW.PAULOMARGOTTO.COM.BR</w:t>
        </w:r>
      </w:hyperlink>
      <w:r w:rsidRPr="007E20E7">
        <w:rPr>
          <w:rFonts w:ascii="Alien Encounters" w:hAnsi="Alien Encounters"/>
          <w:b/>
          <w:bCs/>
          <w:color w:val="008000"/>
          <w:sz w:val="36"/>
          <w:szCs w:val="36"/>
        </w:rPr>
        <w:t>, DR. PAULO R. MARGOTTO. VEJAM TAMB</w:t>
      </w:r>
      <w:r w:rsidRPr="007E20E7">
        <w:rPr>
          <w:rFonts w:ascii="Times New Roman" w:hAnsi="Times New Roman"/>
          <w:b/>
          <w:bCs/>
          <w:color w:val="008000"/>
          <w:sz w:val="36"/>
          <w:szCs w:val="36"/>
        </w:rPr>
        <w:t>É</w:t>
      </w:r>
      <w:r w:rsidRPr="007E20E7">
        <w:rPr>
          <w:rFonts w:ascii="Alien Encounters" w:hAnsi="Alien Encounters"/>
          <w:b/>
          <w:bCs/>
          <w:color w:val="008000"/>
          <w:sz w:val="36"/>
          <w:szCs w:val="36"/>
        </w:rPr>
        <w:t>M!</w:t>
      </w:r>
    </w:p>
    <w:p w:rsidR="006846B1" w:rsidRDefault="006846B1" w:rsidP="005F64C9">
      <w:pPr>
        <w:spacing w:line="240" w:lineRule="auto"/>
        <w:jc w:val="both"/>
        <w:rPr>
          <w:rFonts w:ascii="Aptos Display" w:hAnsi="Aptos Display"/>
          <w:color w:val="212121"/>
          <w:sz w:val="40"/>
          <w:szCs w:val="40"/>
          <w:shd w:val="clear" w:color="auto" w:fill="FFFFFF"/>
        </w:rPr>
      </w:pPr>
    </w:p>
    <w:p w:rsidR="006846B1" w:rsidRDefault="006846B1" w:rsidP="005F64C9">
      <w:pPr>
        <w:spacing w:line="240" w:lineRule="auto"/>
        <w:jc w:val="both"/>
        <w:rPr>
          <w:rFonts w:ascii="Aptos Display" w:hAnsi="Aptos Display"/>
          <w:color w:val="212121"/>
          <w:sz w:val="40"/>
          <w:szCs w:val="40"/>
          <w:shd w:val="clear" w:color="auto" w:fill="FFFFFF"/>
        </w:rPr>
      </w:pPr>
    </w:p>
    <w:p w:rsidR="006846B1" w:rsidRDefault="006846B1" w:rsidP="005F64C9">
      <w:pPr>
        <w:spacing w:line="240" w:lineRule="auto"/>
        <w:jc w:val="both"/>
        <w:rPr>
          <w:rFonts w:ascii="Aptos Display" w:hAnsi="Aptos Display"/>
          <w:color w:val="212121"/>
          <w:sz w:val="40"/>
          <w:szCs w:val="40"/>
          <w:shd w:val="clear" w:color="auto" w:fill="FFFFFF"/>
        </w:rPr>
      </w:pPr>
    </w:p>
    <w:p w:rsidR="006846B1" w:rsidRDefault="006846B1" w:rsidP="005F64C9">
      <w:pPr>
        <w:spacing w:line="240" w:lineRule="auto"/>
        <w:jc w:val="both"/>
        <w:rPr>
          <w:rFonts w:ascii="Aptos Display" w:hAnsi="Aptos Display"/>
          <w:color w:val="212121"/>
          <w:sz w:val="40"/>
          <w:szCs w:val="40"/>
          <w:shd w:val="clear" w:color="auto" w:fill="FFFFFF"/>
        </w:rPr>
      </w:pPr>
    </w:p>
    <w:p w:rsidR="006846B1" w:rsidRDefault="006846B1" w:rsidP="005F64C9">
      <w:pPr>
        <w:spacing w:line="240" w:lineRule="auto"/>
        <w:jc w:val="both"/>
        <w:rPr>
          <w:rFonts w:ascii="Aptos Display" w:hAnsi="Aptos Display"/>
          <w:color w:val="212121"/>
          <w:sz w:val="40"/>
          <w:szCs w:val="40"/>
          <w:shd w:val="clear" w:color="auto" w:fill="FFFFFF"/>
        </w:rPr>
      </w:pPr>
    </w:p>
    <w:p w:rsidR="006846B1" w:rsidRDefault="006846B1" w:rsidP="005F64C9">
      <w:pPr>
        <w:spacing w:line="240" w:lineRule="auto"/>
        <w:jc w:val="both"/>
        <w:rPr>
          <w:rFonts w:ascii="Aptos Display" w:hAnsi="Aptos Display"/>
          <w:color w:val="212121"/>
          <w:sz w:val="40"/>
          <w:szCs w:val="40"/>
          <w:shd w:val="clear" w:color="auto" w:fill="FFFFFF"/>
        </w:rPr>
      </w:pPr>
    </w:p>
    <w:p w:rsidR="006846B1" w:rsidRPr="00233275" w:rsidRDefault="006846B1" w:rsidP="007E20E7">
      <w:pPr>
        <w:spacing w:line="240" w:lineRule="auto"/>
        <w:jc w:val="center"/>
        <w:rPr>
          <w:rFonts w:ascii="Aptos Display" w:hAnsi="Aptos Display"/>
          <w:color w:val="0000FF"/>
          <w:sz w:val="24"/>
          <w:szCs w:val="24"/>
          <w:shd w:val="clear" w:color="auto" w:fill="FFFFFF"/>
        </w:rPr>
      </w:pPr>
      <w:r w:rsidRPr="00233275">
        <w:rPr>
          <w:rFonts w:ascii="Aptos Display" w:hAnsi="Aptos Display"/>
          <w:color w:val="0000FF"/>
          <w:sz w:val="24"/>
          <w:szCs w:val="24"/>
          <w:shd w:val="clear" w:color="auto" w:fill="FFFFFF"/>
        </w:rPr>
        <w:t>Drs. Alessandra e Paulo R. Margotto e Estudantes da ESCS/SES/DF (15/6/2022)</w:t>
      </w:r>
    </w:p>
    <w:p w:rsidR="006846B1" w:rsidRPr="00B53936" w:rsidRDefault="006846B1" w:rsidP="00B53936">
      <w:pPr>
        <w:pStyle w:val="Heading1"/>
        <w:spacing w:before="207" w:after="41"/>
        <w:jc w:val="center"/>
        <w:rPr>
          <w:rFonts w:ascii="Lato" w:hAnsi="Lato"/>
          <w:b/>
          <w:color w:val="0000FF"/>
          <w:sz w:val="36"/>
          <w:szCs w:val="36"/>
        </w:rPr>
      </w:pPr>
      <w:r w:rsidRPr="00B53936">
        <w:rPr>
          <w:rFonts w:ascii="Lato" w:hAnsi="Lato"/>
          <w:b/>
          <w:color w:val="0000FF"/>
          <w:sz w:val="36"/>
          <w:szCs w:val="36"/>
        </w:rPr>
        <w:t>Avaliação a idade gestacional</w:t>
      </w:r>
    </w:p>
    <w:p w:rsidR="006846B1" w:rsidRPr="00B53936" w:rsidRDefault="006846B1" w:rsidP="00B53936">
      <w:pPr>
        <w:jc w:val="center"/>
        <w:rPr>
          <w:rFonts w:ascii="Times New Roman" w:hAnsi="Times New Roman"/>
          <w:b/>
          <w:color w:val="0000FF"/>
          <w:sz w:val="36"/>
          <w:szCs w:val="36"/>
        </w:rPr>
      </w:pPr>
      <w:hyperlink r:id="rId8" w:tooltip="NOVO-AVALIAÇÃO DA IDADE GESTACIONAL" w:history="1">
        <w:r w:rsidRPr="00B53936">
          <w:rPr>
            <w:b/>
            <w:color w:val="0000FF"/>
            <w:sz w:val="36"/>
            <w:szCs w:val="36"/>
          </w:rPr>
          <w:fldChar w:fldCharType="begin"/>
        </w:r>
        <w:r w:rsidRPr="00B53936">
          <w:rPr>
            <w:b/>
            <w:color w:val="0000FF"/>
            <w:sz w:val="36"/>
            <w:szCs w:val="36"/>
          </w:rPr>
          <w:instrText xml:space="preserve"> INCLUDEPICTURE "http://paulomargotto.com.br/wp-content/plugins/download-attachments/images/ext/doc.gif" \* MERGEFORMATINET </w:instrText>
        </w:r>
        <w:r w:rsidRPr="00B53936">
          <w:rPr>
            <w:b/>
            <w:color w:val="0000FF"/>
            <w:sz w:val="36"/>
            <w:szCs w:val="36"/>
          </w:rPr>
          <w:fldChar w:fldCharType="separate"/>
        </w:r>
        <w:r w:rsidRPr="00B53936">
          <w:rPr>
            <w:b/>
            <w:color w:val="0000FF"/>
            <w:sz w:val="36"/>
            <w:szCs w:val="36"/>
          </w:rPr>
          <w:pict>
            <v:shape id="_x0000_i1025" type="#_x0000_t75" alt="doc" href="http://paulomargotto.com.br/documentos/22819" title="&quot;NOVO-AVALIAÇÃO DA IDADE GESTACIONAL&quot;" style="width:36pt;height:36pt" o:button="t">
              <v:imagedata r:id="rId9" r:href="rId10"/>
            </v:shape>
          </w:pict>
        </w:r>
        <w:r w:rsidRPr="00B53936">
          <w:rPr>
            <w:b/>
            <w:color w:val="0000FF"/>
            <w:sz w:val="36"/>
            <w:szCs w:val="36"/>
          </w:rPr>
          <w:fldChar w:fldCharType="end"/>
        </w:r>
      </w:hyperlink>
      <w:hyperlink r:id="rId11" w:tooltip="NOVO-AVALIAÇÃO DA IDADE GESTACIONAL" w:history="1"/>
    </w:p>
    <w:p w:rsidR="006846B1" w:rsidRPr="00B53936" w:rsidRDefault="006846B1" w:rsidP="00B53936">
      <w:pPr>
        <w:pStyle w:val="NormalWeb"/>
        <w:spacing w:before="0" w:beforeAutospacing="0" w:after="0" w:afterAutospacing="0"/>
        <w:rPr>
          <w:color w:val="424242"/>
        </w:rPr>
      </w:pPr>
      <w:r w:rsidRPr="00B53936">
        <w:rPr>
          <w:color w:val="424242"/>
        </w:rPr>
        <w:t>Paulo R. Margotto / Alessandra de Cássia Gonçalves Moreira. Capítulo do Livro Assistência ao Recém-Nascido de Risco, HMIB/SES/DF, Brasília, DF, 4a Edição, 2021</w:t>
      </w:r>
    </w:p>
    <w:p w:rsidR="006846B1" w:rsidRPr="00B53936" w:rsidRDefault="006846B1" w:rsidP="00B53936">
      <w:pPr>
        <w:jc w:val="center"/>
        <w:rPr>
          <w:rFonts w:ascii="Algerian" w:hAnsi="Algerian"/>
          <w:b/>
          <w:color w:val="0000FF"/>
          <w:sz w:val="24"/>
        </w:rPr>
      </w:pPr>
      <w:r w:rsidRPr="00B53936">
        <w:rPr>
          <w:rFonts w:ascii="Algerian" w:hAnsi="Algerian"/>
          <w:b/>
          <w:color w:val="0000FF"/>
          <w:sz w:val="24"/>
        </w:rPr>
        <w:t>Restrição do crescimento intrauterino (RCIU) e Pequeno para a idade gestacional (PIG)</w:t>
      </w:r>
    </w:p>
    <w:p w:rsidR="006846B1" w:rsidRDefault="006846B1" w:rsidP="00B53936">
      <w:pPr>
        <w:spacing w:line="240" w:lineRule="auto"/>
        <w:jc w:val="both"/>
        <w:rPr>
          <w:rFonts w:ascii="Times New Roman" w:hAnsi="Times New Roman"/>
          <w:sz w:val="24"/>
          <w:szCs w:val="24"/>
        </w:rPr>
      </w:pPr>
      <w:r>
        <w:rPr>
          <w:b/>
          <w:color w:val="000000"/>
          <w:sz w:val="24"/>
        </w:rPr>
        <w:tab/>
      </w:r>
      <w:r w:rsidRPr="00B53936">
        <w:rPr>
          <w:rFonts w:ascii="Times New Roman" w:hAnsi="Times New Roman"/>
          <w:color w:val="222222"/>
          <w:sz w:val="24"/>
          <w:szCs w:val="24"/>
          <w:shd w:val="clear" w:color="auto" w:fill="FFFFFF"/>
        </w:rPr>
        <w:t>Nem todo RN com RCIU é PIG, assim como nem todo RN PIG tem RCIU. A condição RCIU é definida como um deficiente crescimento e desenvolvimento do embrião/feto durante a gravidez, sendo detectado pela diminuição na velocidade do crescimento detectada pelo ultrassom seriado. Assim, um RN com peso abaixo do percentil 10 não necessariamente é um RN com RCIU, pois pode corresponder a um RN normal, porem com baixo potencial de crescimento. Também não é verdade que todo RN com peso entre Percentil (P)10 e P90 corresponde a um RN com crescimento normal (pode corresponder a um produto com crescimento no P90  </w:t>
      </w:r>
      <w:r w:rsidRPr="00B53936">
        <w:rPr>
          <w:rFonts w:ascii="Times New Roman" w:hAnsi="Times New Roman"/>
          <w:sz w:val="24"/>
          <w:szCs w:val="24"/>
        </w:rPr>
        <w:t>que desacelerou para o P15</w:t>
      </w:r>
      <w:r w:rsidRPr="00B53936">
        <w:rPr>
          <w:rFonts w:ascii="Times New Roman" w:hAnsi="Times New Roman"/>
          <w:color w:val="222222"/>
          <w:sz w:val="24"/>
          <w:szCs w:val="24"/>
          <w:shd w:val="clear" w:color="auto" w:fill="FFFFFF"/>
        </w:rPr>
        <w:t>). Ananth CV</w:t>
      </w:r>
      <w:r>
        <w:rPr>
          <w:rFonts w:ascii="Times New Roman" w:hAnsi="Times New Roman"/>
          <w:color w:val="222222"/>
          <w:sz w:val="24"/>
          <w:szCs w:val="24"/>
          <w:shd w:val="clear" w:color="auto" w:fill="FFFFFF"/>
        </w:rPr>
        <w:t>,</w:t>
      </w:r>
      <w:r w:rsidRPr="00B53936">
        <w:rPr>
          <w:rFonts w:ascii="Times New Roman" w:hAnsi="Times New Roman"/>
          <w:color w:val="222222"/>
          <w:sz w:val="24"/>
          <w:szCs w:val="24"/>
          <w:shd w:val="clear" w:color="auto" w:fill="FFFFFF"/>
        </w:rPr>
        <w:t xml:space="preserve"> Vintzileos  AM (2000) sugerem  q</w:t>
      </w:r>
      <w:r w:rsidRPr="00B53936">
        <w:rPr>
          <w:rFonts w:ascii="Times New Roman" w:hAnsi="Times New Roman"/>
          <w:sz w:val="24"/>
          <w:szCs w:val="24"/>
        </w:rPr>
        <w:t>ue em gestações pré-termo mais precoces, a definição de PIG pode ser definida como RCIU. Já os RN  PIG concebidos a termo tem maior probabilidade de ser constitucionalmente pequenos</w:t>
      </w:r>
      <w:r>
        <w:rPr>
          <w:rFonts w:ascii="Times New Roman" w:hAnsi="Times New Roman"/>
          <w:sz w:val="24"/>
          <w:szCs w:val="24"/>
        </w:rPr>
        <w:t>.</w:t>
      </w:r>
    </w:p>
    <w:p w:rsidR="006846B1" w:rsidRDefault="006846B1" w:rsidP="007E20E7">
      <w:pPr>
        <w:jc w:val="center"/>
        <w:rPr>
          <w:rFonts w:ascii="Segoe UI" w:hAnsi="Segoe UI" w:cs="Segoe UI"/>
          <w:color w:val="4D8055"/>
        </w:rPr>
      </w:pPr>
      <w:hyperlink r:id="rId12" w:history="1">
        <w:r w:rsidRPr="007E20E7">
          <w:rPr>
            <w:rStyle w:val="Hyperlink"/>
            <w:rFonts w:ascii="Segoe UI" w:hAnsi="Segoe UI" w:cs="Segoe UI"/>
            <w:b/>
            <w:bCs/>
            <w:color w:val="205493"/>
            <w:shd w:val="clear" w:color="auto" w:fill="FFFFFF"/>
            <w:lang w:val="en-US"/>
          </w:rPr>
          <w:t>Distinguishing</w:t>
        </w:r>
        <w:r w:rsidRPr="007E20E7">
          <w:rPr>
            <w:rStyle w:val="Hyperlink"/>
            <w:rFonts w:ascii="Segoe UI" w:hAnsi="Segoe UI" w:cs="Segoe UI"/>
            <w:color w:val="205493"/>
            <w:shd w:val="clear" w:color="auto" w:fill="FFFFFF"/>
            <w:lang w:val="en-US"/>
          </w:rPr>
          <w:t> </w:t>
        </w:r>
        <w:r w:rsidRPr="007E20E7">
          <w:rPr>
            <w:rStyle w:val="Hyperlink"/>
            <w:rFonts w:ascii="Segoe UI" w:hAnsi="Segoe UI" w:cs="Segoe UI"/>
            <w:b/>
            <w:bCs/>
            <w:color w:val="205493"/>
            <w:shd w:val="clear" w:color="auto" w:fill="FFFFFF"/>
            <w:lang w:val="en-US"/>
          </w:rPr>
          <w:t>pathological</w:t>
        </w:r>
        <w:r w:rsidRPr="007E20E7">
          <w:rPr>
            <w:rStyle w:val="Hyperlink"/>
            <w:rFonts w:ascii="Segoe UI" w:hAnsi="Segoe UI" w:cs="Segoe UI"/>
            <w:color w:val="205493"/>
            <w:shd w:val="clear" w:color="auto" w:fill="FFFFFF"/>
            <w:lang w:val="en-US"/>
          </w:rPr>
          <w:t> from constitutional </w:t>
        </w:r>
        <w:r w:rsidRPr="007E20E7">
          <w:rPr>
            <w:rStyle w:val="Hyperlink"/>
            <w:rFonts w:ascii="Segoe UI" w:hAnsi="Segoe UI" w:cs="Segoe UI"/>
            <w:b/>
            <w:bCs/>
            <w:color w:val="205493"/>
            <w:shd w:val="clear" w:color="auto" w:fill="FFFFFF"/>
            <w:lang w:val="en-US"/>
          </w:rPr>
          <w:t>small</w:t>
        </w:r>
        <w:r w:rsidRPr="007E20E7">
          <w:rPr>
            <w:rStyle w:val="Hyperlink"/>
            <w:rFonts w:ascii="Segoe UI" w:hAnsi="Segoe UI" w:cs="Segoe UI"/>
            <w:color w:val="205493"/>
            <w:shd w:val="clear" w:color="auto" w:fill="FFFFFF"/>
            <w:lang w:val="en-US"/>
          </w:rPr>
          <w:t> for gestational age births in population-based studies.</w:t>
        </w:r>
      </w:hyperlink>
      <w:r w:rsidRPr="007E20E7">
        <w:rPr>
          <w:rStyle w:val="docsum-authorsfull-authors"/>
          <w:rFonts w:ascii="Segoe UI" w:hAnsi="Segoe UI" w:cs="Segoe UI"/>
          <w:color w:val="212121"/>
        </w:rPr>
        <w:t>Ananth CV, Vintzileos AM.</w:t>
      </w:r>
      <w:r w:rsidRPr="007E20E7">
        <w:rPr>
          <w:rStyle w:val="docsum-journal-citationfull-journal-citation"/>
          <w:rFonts w:ascii="Segoe UI" w:hAnsi="Segoe UI" w:cs="Segoe UI"/>
          <w:color w:val="4D8055"/>
        </w:rPr>
        <w:t>Early Hum Dev. 2009</w:t>
      </w:r>
      <w:r>
        <w:rPr>
          <w:rStyle w:val="docsum-journal-citationfull-journal-citation"/>
          <w:rFonts w:ascii="Segoe UI" w:hAnsi="Segoe UI" w:cs="Segoe UI"/>
          <w:color w:val="4D8055"/>
        </w:rPr>
        <w:t xml:space="preserve"> </w:t>
      </w:r>
      <w:r w:rsidRPr="007E20E7">
        <w:rPr>
          <w:rStyle w:val="docsum-journal-citationfull-journal-citation"/>
          <w:rFonts w:ascii="Segoe UI" w:hAnsi="Segoe UI" w:cs="Segoe UI"/>
          <w:color w:val="4D8055"/>
        </w:rPr>
        <w:t xml:space="preserve">ct;85(10):653-8. doi: 10.1016/j.earlhumdev.2009.09.004. </w:t>
      </w:r>
      <w:r>
        <w:rPr>
          <w:rStyle w:val="docsum-journal-citationfull-journal-citation"/>
          <w:rFonts w:ascii="Segoe UI" w:hAnsi="Segoe UI" w:cs="Segoe UI"/>
          <w:color w:val="4D8055"/>
        </w:rPr>
        <w:t>Epub 2009 Sep 27.</w:t>
      </w:r>
      <w:r>
        <w:rPr>
          <w:rStyle w:val="citation-part"/>
          <w:rFonts w:ascii="Segoe UI" w:hAnsi="Segoe UI" w:cs="Segoe UI"/>
          <w:color w:val="4D8055"/>
        </w:rPr>
        <w:t>PMID: </w:t>
      </w:r>
      <w:r>
        <w:rPr>
          <w:rStyle w:val="docsum-pmid"/>
          <w:rFonts w:ascii="Segoe UI" w:hAnsi="Segoe UI" w:cs="Segoe UI"/>
          <w:color w:val="4D8055"/>
        </w:rPr>
        <w:t>19786331</w:t>
      </w:r>
    </w:p>
    <w:p w:rsidR="006846B1" w:rsidRDefault="006846B1" w:rsidP="00B53936">
      <w:pPr>
        <w:spacing w:after="0" w:line="360" w:lineRule="auto"/>
        <w:jc w:val="center"/>
        <w:rPr>
          <w:rFonts w:ascii="Times New Roman" w:hAnsi="Times New Roman"/>
          <w:bCs/>
          <w:color w:val="000000"/>
          <w:sz w:val="24"/>
          <w:szCs w:val="24"/>
        </w:rPr>
      </w:pPr>
      <w:r w:rsidRPr="00E311F4">
        <w:rPr>
          <w:rFonts w:ascii="Times New Roman" w:hAnsi="Times New Roman"/>
          <w:bCs/>
          <w:color w:val="000000"/>
          <w:sz w:val="24"/>
          <w:szCs w:val="24"/>
        </w:rPr>
        <w:t>Brasília, 27 de julho de 2024</w:t>
      </w:r>
    </w:p>
    <w:sectPr w:rsidR="006846B1" w:rsidSect="00742B5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swiss"/>
    <w:notTrueType/>
    <w:pitch w:val="variable"/>
    <w:sig w:usb0="00000003" w:usb1="00000000" w:usb2="00000000" w:usb3="00000000" w:csb0="00000001" w:csb1="00000000"/>
  </w:font>
  <w:font w:name="MS Mincho">
    <w:altName w:val="?l?r ??fc"/>
    <w:panose1 w:val="02020609040205080304"/>
    <w:charset w:val="80"/>
    <w:family w:val="roman"/>
    <w:notTrueType/>
    <w:pitch w:val="fixed"/>
    <w:sig w:usb0="00000001" w:usb1="08070000" w:usb2="00000010" w:usb3="00000000" w:csb0="00020000" w:csb1="00000000"/>
  </w:font>
  <w:font w:name="ABeeZee">
    <w:panose1 w:val="00000000000000000000"/>
    <w:charset w:val="00"/>
    <w:family w:val="modern"/>
    <w:notTrueType/>
    <w:pitch w:val="variable"/>
    <w:sig w:usb0="8000006F" w:usb1="10000002" w:usb2="00000000" w:usb3="00000000" w:csb0="00000001" w:csb1="00000000"/>
  </w:font>
  <w:font w:name="Alien Encounters">
    <w:panose1 w:val="00000400000000000000"/>
    <w:charset w:val="00"/>
    <w:family w:val="auto"/>
    <w:pitch w:val="variable"/>
    <w:sig w:usb0="00000003" w:usb1="00000000" w:usb2="00000000" w:usb3="00000000" w:csb0="00000001" w:csb1="00000000"/>
  </w:font>
  <w:font w:name="Lato">
    <w:panose1 w:val="020F0502020204030203"/>
    <w:charset w:val="00"/>
    <w:family w:val="swiss"/>
    <w:pitch w:val="variable"/>
    <w:sig w:usb0="800000AF" w:usb1="4000604A"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1E13"/>
    <w:rsid w:val="001859AF"/>
    <w:rsid w:val="00233275"/>
    <w:rsid w:val="002552D8"/>
    <w:rsid w:val="002D31A2"/>
    <w:rsid w:val="00395961"/>
    <w:rsid w:val="003B300B"/>
    <w:rsid w:val="003F6C64"/>
    <w:rsid w:val="00424927"/>
    <w:rsid w:val="005F64C9"/>
    <w:rsid w:val="005F6AD8"/>
    <w:rsid w:val="006846B1"/>
    <w:rsid w:val="00707B35"/>
    <w:rsid w:val="00742B51"/>
    <w:rsid w:val="007C405F"/>
    <w:rsid w:val="007E20E7"/>
    <w:rsid w:val="008542BE"/>
    <w:rsid w:val="008B0BAF"/>
    <w:rsid w:val="00A629D2"/>
    <w:rsid w:val="00A7268C"/>
    <w:rsid w:val="00B53936"/>
    <w:rsid w:val="00BD4BE2"/>
    <w:rsid w:val="00CD1BFF"/>
    <w:rsid w:val="00D653EC"/>
    <w:rsid w:val="00E311F4"/>
    <w:rsid w:val="00E31E13"/>
    <w:rsid w:val="00F34BE0"/>
    <w:rsid w:val="00F76C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Times New Roman"/>
        <w:sz w:val="22"/>
        <w:szCs w:val="22"/>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pPr>
      <w:spacing w:after="160" w:line="259" w:lineRule="auto"/>
    </w:pPr>
    <w:rPr>
      <w:kern w:val="2"/>
      <w:lang w:eastAsia="en-US"/>
    </w:rPr>
  </w:style>
  <w:style w:type="paragraph" w:styleId="Heading1">
    <w:name w:val="heading 1"/>
    <w:basedOn w:val="Normal"/>
    <w:next w:val="Normal"/>
    <w:link w:val="Heading1Char"/>
    <w:uiPriority w:val="99"/>
    <w:qFormat/>
    <w:rsid w:val="00E31E13"/>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9"/>
    <w:qFormat/>
    <w:rsid w:val="00E31E13"/>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9"/>
    <w:qFormat/>
    <w:rsid w:val="00E31E13"/>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9"/>
    <w:qFormat/>
    <w:rsid w:val="00E31E13"/>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9"/>
    <w:qFormat/>
    <w:rsid w:val="00E31E13"/>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9"/>
    <w:qFormat/>
    <w:rsid w:val="00E31E13"/>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9"/>
    <w:qFormat/>
    <w:rsid w:val="00E31E13"/>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9"/>
    <w:qFormat/>
    <w:rsid w:val="00E31E13"/>
    <w:pPr>
      <w:keepNext/>
      <w:keepLines/>
      <w:spacing w:after="0"/>
      <w:outlineLvl w:val="7"/>
    </w:pPr>
    <w:rPr>
      <w:rFonts w:eastAsia="Times New Roman"/>
      <w:i/>
      <w:iCs/>
      <w:color w:val="272727"/>
    </w:rPr>
  </w:style>
  <w:style w:type="paragraph" w:styleId="Heading9">
    <w:name w:val="heading 9"/>
    <w:basedOn w:val="Normal"/>
    <w:next w:val="Normal"/>
    <w:link w:val="Heading9Char"/>
    <w:uiPriority w:val="99"/>
    <w:qFormat/>
    <w:rsid w:val="00E31E13"/>
    <w:pPr>
      <w:keepNext/>
      <w:keepLines/>
      <w:spacing w:after="0"/>
      <w:outlineLvl w:val="8"/>
    </w:pPr>
    <w:rPr>
      <w:rFonts w:eastAsia="Times New Roman"/>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31E13"/>
    <w:rPr>
      <w:rFonts w:ascii="Aptos Display" w:hAnsi="Aptos Display"/>
      <w:color w:val="0F4761"/>
      <w:sz w:val="40"/>
    </w:rPr>
  </w:style>
  <w:style w:type="character" w:customStyle="1" w:styleId="Heading2Char">
    <w:name w:val="Heading 2 Char"/>
    <w:basedOn w:val="DefaultParagraphFont"/>
    <w:link w:val="Heading2"/>
    <w:uiPriority w:val="99"/>
    <w:semiHidden/>
    <w:locked/>
    <w:rsid w:val="00E31E13"/>
    <w:rPr>
      <w:rFonts w:ascii="Aptos Display" w:hAnsi="Aptos Display"/>
      <w:color w:val="0F4761"/>
      <w:sz w:val="32"/>
    </w:rPr>
  </w:style>
  <w:style w:type="character" w:customStyle="1" w:styleId="Heading3Char">
    <w:name w:val="Heading 3 Char"/>
    <w:basedOn w:val="DefaultParagraphFont"/>
    <w:link w:val="Heading3"/>
    <w:uiPriority w:val="99"/>
    <w:semiHidden/>
    <w:locked/>
    <w:rsid w:val="00E31E13"/>
    <w:rPr>
      <w:rFonts w:eastAsia="Times New Roman"/>
      <w:color w:val="0F4761"/>
      <w:sz w:val="28"/>
    </w:rPr>
  </w:style>
  <w:style w:type="character" w:customStyle="1" w:styleId="Heading4Char">
    <w:name w:val="Heading 4 Char"/>
    <w:basedOn w:val="DefaultParagraphFont"/>
    <w:link w:val="Heading4"/>
    <w:uiPriority w:val="99"/>
    <w:semiHidden/>
    <w:locked/>
    <w:rsid w:val="00E31E13"/>
    <w:rPr>
      <w:rFonts w:eastAsia="Times New Roman"/>
      <w:i/>
      <w:color w:val="0F4761"/>
    </w:rPr>
  </w:style>
  <w:style w:type="character" w:customStyle="1" w:styleId="Heading5Char">
    <w:name w:val="Heading 5 Char"/>
    <w:basedOn w:val="DefaultParagraphFont"/>
    <w:link w:val="Heading5"/>
    <w:uiPriority w:val="99"/>
    <w:semiHidden/>
    <w:locked/>
    <w:rsid w:val="00E31E13"/>
    <w:rPr>
      <w:rFonts w:eastAsia="Times New Roman"/>
      <w:color w:val="0F4761"/>
    </w:rPr>
  </w:style>
  <w:style w:type="character" w:customStyle="1" w:styleId="Heading6Char">
    <w:name w:val="Heading 6 Char"/>
    <w:basedOn w:val="DefaultParagraphFont"/>
    <w:link w:val="Heading6"/>
    <w:uiPriority w:val="99"/>
    <w:semiHidden/>
    <w:locked/>
    <w:rsid w:val="00E31E13"/>
    <w:rPr>
      <w:rFonts w:eastAsia="Times New Roman"/>
      <w:i/>
      <w:color w:val="595959"/>
    </w:rPr>
  </w:style>
  <w:style w:type="character" w:customStyle="1" w:styleId="Heading7Char">
    <w:name w:val="Heading 7 Char"/>
    <w:basedOn w:val="DefaultParagraphFont"/>
    <w:link w:val="Heading7"/>
    <w:uiPriority w:val="99"/>
    <w:semiHidden/>
    <w:locked/>
    <w:rsid w:val="00E31E13"/>
    <w:rPr>
      <w:rFonts w:eastAsia="Times New Roman"/>
      <w:color w:val="595959"/>
    </w:rPr>
  </w:style>
  <w:style w:type="character" w:customStyle="1" w:styleId="Heading8Char">
    <w:name w:val="Heading 8 Char"/>
    <w:basedOn w:val="DefaultParagraphFont"/>
    <w:link w:val="Heading8"/>
    <w:uiPriority w:val="99"/>
    <w:semiHidden/>
    <w:locked/>
    <w:rsid w:val="00E31E13"/>
    <w:rPr>
      <w:rFonts w:eastAsia="Times New Roman"/>
      <w:i/>
      <w:color w:val="272727"/>
    </w:rPr>
  </w:style>
  <w:style w:type="character" w:customStyle="1" w:styleId="Heading9Char">
    <w:name w:val="Heading 9 Char"/>
    <w:basedOn w:val="DefaultParagraphFont"/>
    <w:link w:val="Heading9"/>
    <w:uiPriority w:val="99"/>
    <w:semiHidden/>
    <w:locked/>
    <w:rsid w:val="00E31E13"/>
    <w:rPr>
      <w:rFonts w:eastAsia="Times New Roman"/>
      <w:color w:val="272727"/>
    </w:rPr>
  </w:style>
  <w:style w:type="paragraph" w:styleId="Title">
    <w:name w:val="Title"/>
    <w:basedOn w:val="Normal"/>
    <w:next w:val="Normal"/>
    <w:link w:val="TitleChar"/>
    <w:uiPriority w:val="99"/>
    <w:qFormat/>
    <w:rsid w:val="00E31E13"/>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basedOn w:val="DefaultParagraphFont"/>
    <w:link w:val="Title"/>
    <w:uiPriority w:val="99"/>
    <w:locked/>
    <w:rsid w:val="00E31E13"/>
    <w:rPr>
      <w:rFonts w:ascii="Aptos Display" w:hAnsi="Aptos Display"/>
      <w:spacing w:val="-10"/>
      <w:kern w:val="28"/>
      <w:sz w:val="56"/>
    </w:rPr>
  </w:style>
  <w:style w:type="paragraph" w:styleId="Subtitle">
    <w:name w:val="Subtitle"/>
    <w:basedOn w:val="Normal"/>
    <w:next w:val="Normal"/>
    <w:link w:val="SubtitleChar"/>
    <w:uiPriority w:val="99"/>
    <w:qFormat/>
    <w:rsid w:val="00E31E13"/>
    <w:pPr>
      <w:numPr>
        <w:ilvl w:val="1"/>
      </w:numPr>
    </w:pPr>
    <w:rPr>
      <w:rFonts w:eastAsia="Times New Roman"/>
      <w:color w:val="595959"/>
      <w:spacing w:val="15"/>
      <w:sz w:val="28"/>
      <w:szCs w:val="28"/>
    </w:rPr>
  </w:style>
  <w:style w:type="character" w:customStyle="1" w:styleId="SubtitleChar">
    <w:name w:val="Subtitle Char"/>
    <w:basedOn w:val="DefaultParagraphFont"/>
    <w:link w:val="Subtitle"/>
    <w:uiPriority w:val="99"/>
    <w:locked/>
    <w:rsid w:val="00E31E13"/>
    <w:rPr>
      <w:rFonts w:eastAsia="Times New Roman"/>
      <w:color w:val="595959"/>
      <w:spacing w:val="15"/>
      <w:sz w:val="28"/>
    </w:rPr>
  </w:style>
  <w:style w:type="paragraph" w:styleId="Quote">
    <w:name w:val="Quote"/>
    <w:basedOn w:val="Normal"/>
    <w:next w:val="Normal"/>
    <w:link w:val="QuoteChar"/>
    <w:uiPriority w:val="99"/>
    <w:qFormat/>
    <w:rsid w:val="00E31E13"/>
    <w:pPr>
      <w:spacing w:before="160"/>
      <w:jc w:val="center"/>
    </w:pPr>
    <w:rPr>
      <w:i/>
      <w:iCs/>
      <w:color w:val="404040"/>
    </w:rPr>
  </w:style>
  <w:style w:type="character" w:customStyle="1" w:styleId="QuoteChar">
    <w:name w:val="Quote Char"/>
    <w:basedOn w:val="DefaultParagraphFont"/>
    <w:link w:val="Quote"/>
    <w:uiPriority w:val="99"/>
    <w:locked/>
    <w:rsid w:val="00E31E13"/>
    <w:rPr>
      <w:i/>
      <w:color w:val="404040"/>
    </w:rPr>
  </w:style>
  <w:style w:type="paragraph" w:styleId="ListParagraph">
    <w:name w:val="List Paragraph"/>
    <w:basedOn w:val="Normal"/>
    <w:uiPriority w:val="99"/>
    <w:qFormat/>
    <w:rsid w:val="00E31E13"/>
    <w:pPr>
      <w:ind w:left="720"/>
      <w:contextualSpacing/>
    </w:pPr>
  </w:style>
  <w:style w:type="character" w:styleId="IntenseEmphasis">
    <w:name w:val="Intense Emphasis"/>
    <w:basedOn w:val="DefaultParagraphFont"/>
    <w:uiPriority w:val="99"/>
    <w:qFormat/>
    <w:rsid w:val="00E31E13"/>
    <w:rPr>
      <w:i/>
      <w:color w:val="0F4761"/>
    </w:rPr>
  </w:style>
  <w:style w:type="paragraph" w:styleId="IntenseQuote">
    <w:name w:val="Intense Quote"/>
    <w:basedOn w:val="Normal"/>
    <w:next w:val="Normal"/>
    <w:link w:val="IntenseQuoteChar"/>
    <w:uiPriority w:val="99"/>
    <w:qFormat/>
    <w:rsid w:val="00E31E13"/>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99"/>
    <w:locked/>
    <w:rsid w:val="00E31E13"/>
    <w:rPr>
      <w:i/>
      <w:color w:val="0F4761"/>
    </w:rPr>
  </w:style>
  <w:style w:type="character" w:styleId="IntenseReference">
    <w:name w:val="Intense Reference"/>
    <w:basedOn w:val="DefaultParagraphFont"/>
    <w:uiPriority w:val="99"/>
    <w:qFormat/>
    <w:rsid w:val="00E31E13"/>
    <w:rPr>
      <w:b/>
      <w:smallCaps/>
      <w:color w:val="0F4761"/>
      <w:spacing w:val="5"/>
    </w:rPr>
  </w:style>
  <w:style w:type="character" w:customStyle="1" w:styleId="mixed-citation">
    <w:name w:val="mixed-citation"/>
    <w:uiPriority w:val="99"/>
    <w:rsid w:val="005F64C9"/>
  </w:style>
  <w:style w:type="character" w:customStyle="1" w:styleId="ref-title">
    <w:name w:val="ref-title"/>
    <w:uiPriority w:val="99"/>
    <w:rsid w:val="005F64C9"/>
  </w:style>
  <w:style w:type="character" w:customStyle="1" w:styleId="ref-journal">
    <w:name w:val="ref-journal"/>
    <w:uiPriority w:val="99"/>
    <w:rsid w:val="005F64C9"/>
  </w:style>
  <w:style w:type="character" w:customStyle="1" w:styleId="ref-vol">
    <w:name w:val="ref-vol"/>
    <w:uiPriority w:val="99"/>
    <w:rsid w:val="005F64C9"/>
  </w:style>
  <w:style w:type="character" w:styleId="Hyperlink">
    <w:name w:val="Hyperlink"/>
    <w:basedOn w:val="DefaultParagraphFont"/>
    <w:uiPriority w:val="99"/>
    <w:semiHidden/>
    <w:rsid w:val="005F64C9"/>
    <w:rPr>
      <w:rFonts w:cs="Times New Roman"/>
      <w:color w:val="0000FF"/>
      <w:u w:val="single"/>
    </w:rPr>
  </w:style>
  <w:style w:type="character" w:customStyle="1" w:styleId="nowrap">
    <w:name w:val="nowrap"/>
    <w:uiPriority w:val="99"/>
    <w:rsid w:val="005F64C9"/>
  </w:style>
  <w:style w:type="character" w:customStyle="1" w:styleId="authorvcard">
    <w:name w:val="author vcard"/>
    <w:basedOn w:val="DefaultParagraphFont"/>
    <w:uiPriority w:val="99"/>
    <w:rsid w:val="00B53936"/>
    <w:rPr>
      <w:rFonts w:cs="Times New Roman"/>
    </w:rPr>
  </w:style>
  <w:style w:type="paragraph" w:styleId="NormalWeb">
    <w:name w:val="Normal (Web)"/>
    <w:basedOn w:val="Normal"/>
    <w:uiPriority w:val="99"/>
    <w:locked/>
    <w:rsid w:val="00B53936"/>
    <w:pPr>
      <w:spacing w:before="100" w:beforeAutospacing="1" w:after="100" w:afterAutospacing="1" w:line="240" w:lineRule="auto"/>
    </w:pPr>
    <w:rPr>
      <w:rFonts w:ascii="Times New Roman" w:eastAsia="MS Mincho" w:hAnsi="Times New Roman"/>
      <w:kern w:val="0"/>
      <w:sz w:val="24"/>
      <w:szCs w:val="24"/>
      <w:lang w:eastAsia="ja-JP"/>
    </w:rPr>
  </w:style>
  <w:style w:type="character" w:customStyle="1" w:styleId="docsum-authorsfull-authors">
    <w:name w:val="docsum-authors full-authors"/>
    <w:basedOn w:val="DefaultParagraphFont"/>
    <w:uiPriority w:val="99"/>
    <w:rsid w:val="007E20E7"/>
    <w:rPr>
      <w:rFonts w:cs="Times New Roman"/>
    </w:rPr>
  </w:style>
  <w:style w:type="character" w:customStyle="1" w:styleId="docsum-journal-citationfull-journal-citation">
    <w:name w:val="docsum-journal-citation full-journal-citation"/>
    <w:basedOn w:val="DefaultParagraphFont"/>
    <w:uiPriority w:val="99"/>
    <w:rsid w:val="007E20E7"/>
    <w:rPr>
      <w:rFonts w:cs="Times New Roman"/>
    </w:rPr>
  </w:style>
  <w:style w:type="character" w:customStyle="1" w:styleId="citation-part">
    <w:name w:val="citation-part"/>
    <w:basedOn w:val="DefaultParagraphFont"/>
    <w:uiPriority w:val="99"/>
    <w:rsid w:val="007E20E7"/>
    <w:rPr>
      <w:rFonts w:cs="Times New Roman"/>
    </w:rPr>
  </w:style>
  <w:style w:type="character" w:customStyle="1" w:styleId="docsum-pmid">
    <w:name w:val="docsum-pmid"/>
    <w:basedOn w:val="DefaultParagraphFont"/>
    <w:uiPriority w:val="99"/>
    <w:rsid w:val="007E20E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521037">
      <w:marLeft w:val="0"/>
      <w:marRight w:val="0"/>
      <w:marTop w:val="0"/>
      <w:marBottom w:val="0"/>
      <w:divBdr>
        <w:top w:val="none" w:sz="0" w:space="0" w:color="auto"/>
        <w:left w:val="none" w:sz="0" w:space="0" w:color="auto"/>
        <w:bottom w:val="none" w:sz="0" w:space="0" w:color="auto"/>
        <w:right w:val="none" w:sz="0" w:space="0" w:color="auto"/>
      </w:divBdr>
      <w:divsChild>
        <w:div w:id="2099521030">
          <w:marLeft w:val="0"/>
          <w:marRight w:val="0"/>
          <w:marTop w:val="200"/>
          <w:marBottom w:val="200"/>
          <w:divBdr>
            <w:top w:val="none" w:sz="0" w:space="0" w:color="auto"/>
            <w:left w:val="none" w:sz="0" w:space="0" w:color="auto"/>
            <w:bottom w:val="none" w:sz="0" w:space="0" w:color="auto"/>
            <w:right w:val="none" w:sz="0" w:space="0" w:color="auto"/>
          </w:divBdr>
        </w:div>
        <w:div w:id="2099521031">
          <w:marLeft w:val="0"/>
          <w:marRight w:val="0"/>
          <w:marTop w:val="200"/>
          <w:marBottom w:val="200"/>
          <w:divBdr>
            <w:top w:val="none" w:sz="0" w:space="0" w:color="auto"/>
            <w:left w:val="none" w:sz="0" w:space="0" w:color="auto"/>
            <w:bottom w:val="none" w:sz="0" w:space="0" w:color="auto"/>
            <w:right w:val="none" w:sz="0" w:space="0" w:color="auto"/>
          </w:divBdr>
        </w:div>
        <w:div w:id="2099521032">
          <w:marLeft w:val="0"/>
          <w:marRight w:val="0"/>
          <w:marTop w:val="200"/>
          <w:marBottom w:val="200"/>
          <w:divBdr>
            <w:top w:val="none" w:sz="0" w:space="0" w:color="auto"/>
            <w:left w:val="none" w:sz="0" w:space="0" w:color="auto"/>
            <w:bottom w:val="none" w:sz="0" w:space="0" w:color="auto"/>
            <w:right w:val="none" w:sz="0" w:space="0" w:color="auto"/>
          </w:divBdr>
        </w:div>
        <w:div w:id="2099521033">
          <w:marLeft w:val="0"/>
          <w:marRight w:val="0"/>
          <w:marTop w:val="200"/>
          <w:marBottom w:val="200"/>
          <w:divBdr>
            <w:top w:val="none" w:sz="0" w:space="0" w:color="auto"/>
            <w:left w:val="none" w:sz="0" w:space="0" w:color="auto"/>
            <w:bottom w:val="none" w:sz="0" w:space="0" w:color="auto"/>
            <w:right w:val="none" w:sz="0" w:space="0" w:color="auto"/>
          </w:divBdr>
        </w:div>
        <w:div w:id="2099521034">
          <w:marLeft w:val="0"/>
          <w:marRight w:val="0"/>
          <w:marTop w:val="200"/>
          <w:marBottom w:val="200"/>
          <w:divBdr>
            <w:top w:val="none" w:sz="0" w:space="0" w:color="auto"/>
            <w:left w:val="none" w:sz="0" w:space="0" w:color="auto"/>
            <w:bottom w:val="none" w:sz="0" w:space="0" w:color="auto"/>
            <w:right w:val="none" w:sz="0" w:space="0" w:color="auto"/>
          </w:divBdr>
        </w:div>
        <w:div w:id="2099521035">
          <w:marLeft w:val="0"/>
          <w:marRight w:val="0"/>
          <w:marTop w:val="200"/>
          <w:marBottom w:val="200"/>
          <w:divBdr>
            <w:top w:val="none" w:sz="0" w:space="0" w:color="auto"/>
            <w:left w:val="none" w:sz="0" w:space="0" w:color="auto"/>
            <w:bottom w:val="none" w:sz="0" w:space="0" w:color="auto"/>
            <w:right w:val="none" w:sz="0" w:space="0" w:color="auto"/>
          </w:divBdr>
        </w:div>
        <w:div w:id="2099521036">
          <w:marLeft w:val="0"/>
          <w:marRight w:val="0"/>
          <w:marTop w:val="200"/>
          <w:marBottom w:val="200"/>
          <w:divBdr>
            <w:top w:val="none" w:sz="0" w:space="0" w:color="auto"/>
            <w:left w:val="none" w:sz="0" w:space="0" w:color="auto"/>
            <w:bottom w:val="none" w:sz="0" w:space="0" w:color="auto"/>
            <w:right w:val="none" w:sz="0" w:space="0" w:color="auto"/>
          </w:divBdr>
        </w:div>
        <w:div w:id="2099521038">
          <w:marLeft w:val="0"/>
          <w:marRight w:val="0"/>
          <w:marTop w:val="200"/>
          <w:marBottom w:val="200"/>
          <w:divBdr>
            <w:top w:val="none" w:sz="0" w:space="0" w:color="auto"/>
            <w:left w:val="none" w:sz="0" w:space="0" w:color="auto"/>
            <w:bottom w:val="none" w:sz="0" w:space="0" w:color="auto"/>
            <w:right w:val="none" w:sz="0" w:space="0" w:color="auto"/>
          </w:divBdr>
        </w:div>
        <w:div w:id="2099521039">
          <w:marLeft w:val="0"/>
          <w:marRight w:val="0"/>
          <w:marTop w:val="200"/>
          <w:marBottom w:val="200"/>
          <w:divBdr>
            <w:top w:val="none" w:sz="0" w:space="0" w:color="auto"/>
            <w:left w:val="none" w:sz="0" w:space="0" w:color="auto"/>
            <w:bottom w:val="none" w:sz="0" w:space="0" w:color="auto"/>
            <w:right w:val="none" w:sz="0" w:space="0" w:color="auto"/>
          </w:divBdr>
        </w:div>
        <w:div w:id="2099521040">
          <w:marLeft w:val="0"/>
          <w:marRight w:val="0"/>
          <w:marTop w:val="200"/>
          <w:marBottom w:val="200"/>
          <w:divBdr>
            <w:top w:val="none" w:sz="0" w:space="0" w:color="auto"/>
            <w:left w:val="none" w:sz="0" w:space="0" w:color="auto"/>
            <w:bottom w:val="none" w:sz="0" w:space="0" w:color="auto"/>
            <w:right w:val="none" w:sz="0" w:space="0" w:color="auto"/>
          </w:divBdr>
        </w:div>
        <w:div w:id="2099521041">
          <w:marLeft w:val="0"/>
          <w:marRight w:val="0"/>
          <w:marTop w:val="200"/>
          <w:marBottom w:val="200"/>
          <w:divBdr>
            <w:top w:val="none" w:sz="0" w:space="0" w:color="auto"/>
            <w:left w:val="none" w:sz="0" w:space="0" w:color="auto"/>
            <w:bottom w:val="none" w:sz="0" w:space="0" w:color="auto"/>
            <w:right w:val="none" w:sz="0" w:space="0" w:color="auto"/>
          </w:divBdr>
        </w:div>
        <w:div w:id="2099521042">
          <w:marLeft w:val="0"/>
          <w:marRight w:val="0"/>
          <w:marTop w:val="200"/>
          <w:marBottom w:val="200"/>
          <w:divBdr>
            <w:top w:val="none" w:sz="0" w:space="0" w:color="auto"/>
            <w:left w:val="none" w:sz="0" w:space="0" w:color="auto"/>
            <w:bottom w:val="none" w:sz="0" w:space="0" w:color="auto"/>
            <w:right w:val="none" w:sz="0" w:space="0" w:color="auto"/>
          </w:divBdr>
        </w:div>
        <w:div w:id="2099521043">
          <w:marLeft w:val="0"/>
          <w:marRight w:val="0"/>
          <w:marTop w:val="200"/>
          <w:marBottom w:val="200"/>
          <w:divBdr>
            <w:top w:val="none" w:sz="0" w:space="0" w:color="auto"/>
            <w:left w:val="none" w:sz="0" w:space="0" w:color="auto"/>
            <w:bottom w:val="none" w:sz="0" w:space="0" w:color="auto"/>
            <w:right w:val="none" w:sz="0" w:space="0" w:color="auto"/>
          </w:divBdr>
        </w:div>
        <w:div w:id="2099521044">
          <w:marLeft w:val="0"/>
          <w:marRight w:val="0"/>
          <w:marTop w:val="200"/>
          <w:marBottom w:val="200"/>
          <w:divBdr>
            <w:top w:val="none" w:sz="0" w:space="0" w:color="auto"/>
            <w:left w:val="none" w:sz="0" w:space="0" w:color="auto"/>
            <w:bottom w:val="none" w:sz="0" w:space="0" w:color="auto"/>
            <w:right w:val="none" w:sz="0" w:space="0" w:color="auto"/>
          </w:divBdr>
        </w:div>
        <w:div w:id="2099521045">
          <w:marLeft w:val="0"/>
          <w:marRight w:val="0"/>
          <w:marTop w:val="200"/>
          <w:marBottom w:val="200"/>
          <w:divBdr>
            <w:top w:val="none" w:sz="0" w:space="0" w:color="auto"/>
            <w:left w:val="none" w:sz="0" w:space="0" w:color="auto"/>
            <w:bottom w:val="none" w:sz="0" w:space="0" w:color="auto"/>
            <w:right w:val="none" w:sz="0" w:space="0" w:color="auto"/>
          </w:divBdr>
        </w:div>
      </w:divsChild>
    </w:div>
    <w:div w:id="2099521047">
      <w:marLeft w:val="0"/>
      <w:marRight w:val="0"/>
      <w:marTop w:val="0"/>
      <w:marBottom w:val="0"/>
      <w:divBdr>
        <w:top w:val="none" w:sz="0" w:space="0" w:color="auto"/>
        <w:left w:val="none" w:sz="0" w:space="0" w:color="auto"/>
        <w:bottom w:val="none" w:sz="0" w:space="0" w:color="auto"/>
        <w:right w:val="none" w:sz="0" w:space="0" w:color="auto"/>
      </w:divBdr>
      <w:divsChild>
        <w:div w:id="2099521050">
          <w:marLeft w:val="0"/>
          <w:marRight w:val="0"/>
          <w:marTop w:val="0"/>
          <w:marBottom w:val="0"/>
          <w:divBdr>
            <w:top w:val="none" w:sz="0" w:space="0" w:color="auto"/>
            <w:left w:val="none" w:sz="0" w:space="0" w:color="auto"/>
            <w:bottom w:val="none" w:sz="0" w:space="0" w:color="auto"/>
            <w:right w:val="none" w:sz="0" w:space="0" w:color="auto"/>
          </w:divBdr>
        </w:div>
      </w:divsChild>
    </w:div>
    <w:div w:id="2099521048">
      <w:marLeft w:val="0"/>
      <w:marRight w:val="0"/>
      <w:marTop w:val="0"/>
      <w:marBottom w:val="0"/>
      <w:divBdr>
        <w:top w:val="none" w:sz="0" w:space="0" w:color="auto"/>
        <w:left w:val="none" w:sz="0" w:space="0" w:color="auto"/>
        <w:bottom w:val="none" w:sz="0" w:space="0" w:color="auto"/>
        <w:right w:val="none" w:sz="0" w:space="0" w:color="auto"/>
      </w:divBdr>
      <w:divsChild>
        <w:div w:id="2099521046">
          <w:marLeft w:val="0"/>
          <w:marRight w:val="0"/>
          <w:marTop w:val="0"/>
          <w:marBottom w:val="0"/>
          <w:divBdr>
            <w:top w:val="none" w:sz="0" w:space="0" w:color="auto"/>
            <w:left w:val="none" w:sz="0" w:space="0" w:color="auto"/>
            <w:bottom w:val="none" w:sz="0" w:space="0" w:color="auto"/>
            <w:right w:val="none" w:sz="0" w:space="0" w:color="auto"/>
          </w:divBdr>
        </w:div>
        <w:div w:id="2099521049">
          <w:marLeft w:val="0"/>
          <w:marRight w:val="0"/>
          <w:marTop w:val="0"/>
          <w:marBottom w:val="0"/>
          <w:divBdr>
            <w:top w:val="none" w:sz="0" w:space="0" w:color="auto"/>
            <w:left w:val="none" w:sz="0" w:space="0" w:color="auto"/>
            <w:bottom w:val="none" w:sz="0" w:space="0" w:color="auto"/>
            <w:right w:val="none" w:sz="0" w:space="0" w:color="auto"/>
          </w:divBdr>
        </w:div>
        <w:div w:id="2099521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ulomargotto.com.br/documentos/2281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AULOMARGOTTO.COM.BR" TargetMode="External"/><Relationship Id="rId12" Type="http://schemas.openxmlformats.org/officeDocument/2006/relationships/hyperlink" Target="https://pubmed.ncbi.nlm.nih.gov/1978633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paulomargotto.com.br/documentos/22819" TargetMode="External"/><Relationship Id="rId5" Type="http://schemas.openxmlformats.org/officeDocument/2006/relationships/image" Target="media/image1.jpeg"/><Relationship Id="rId10" Type="http://schemas.openxmlformats.org/officeDocument/2006/relationships/image" Target="http://paulomargotto.com.br/wp-content/plugins/download-attachments/images/ext/doc.gif" TargetMode="External"/><Relationship Id="rId4" Type="http://schemas.openxmlformats.org/officeDocument/2006/relationships/hyperlink" Target="http://www.paulomargotto.com.br" TargetMode="Externa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176</TotalTime>
  <Pages>7</Pages>
  <Words>2864</Words>
  <Characters>15471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RESTRIÇÃO DO CRESCIMENTO INTRAUTERINO E DESFECHOS NEONATAIS</dc:title>
  <dc:subject/>
  <dc:creator>Marta Rocha</dc:creator>
  <cp:keywords/>
  <dc:description/>
  <cp:lastModifiedBy>pmargotto@gmail.com</cp:lastModifiedBy>
  <cp:revision>4</cp:revision>
  <dcterms:created xsi:type="dcterms:W3CDTF">2024-07-26T00:26:00Z</dcterms:created>
  <dcterms:modified xsi:type="dcterms:W3CDTF">2024-07-26T17:00:00Z</dcterms:modified>
</cp:coreProperties>
</file>