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A9D" w:rsidRPr="003C4675" w:rsidRDefault="00944A9D" w:rsidP="003C1548">
      <w:pPr>
        <w:spacing w:line="48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3C4675">
        <w:rPr>
          <w:rFonts w:ascii="Times New Roman" w:hAnsi="Times New Roman"/>
          <w:b/>
          <w:sz w:val="24"/>
          <w:szCs w:val="24"/>
        </w:rPr>
        <w:t>Secretaria do Estado de Saúde do Distrito Federal</w:t>
      </w:r>
    </w:p>
    <w:p w:rsidR="00944A9D" w:rsidRPr="003C4675" w:rsidRDefault="00944A9D" w:rsidP="003C1548">
      <w:pPr>
        <w:spacing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3C4675">
        <w:rPr>
          <w:rFonts w:ascii="Times New Roman" w:hAnsi="Times New Roman"/>
          <w:b/>
          <w:sz w:val="24"/>
          <w:szCs w:val="24"/>
        </w:rPr>
        <w:t>Hospital Materno Infantil de Brasília / Hospital Regional da Asa Sul</w:t>
      </w:r>
    </w:p>
    <w:p w:rsidR="00944A9D" w:rsidRPr="003C4675" w:rsidRDefault="00944A9D" w:rsidP="003C1548">
      <w:pPr>
        <w:spacing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3C4675">
        <w:rPr>
          <w:rFonts w:ascii="Times New Roman" w:hAnsi="Times New Roman"/>
          <w:b/>
          <w:sz w:val="24"/>
          <w:szCs w:val="24"/>
        </w:rPr>
        <w:t>Residência Médica em Pediatria</w:t>
      </w:r>
      <w:r>
        <w:rPr>
          <w:rFonts w:ascii="Times New Roman" w:hAnsi="Times New Roman"/>
          <w:b/>
          <w:sz w:val="24"/>
          <w:szCs w:val="24"/>
        </w:rPr>
        <w:t xml:space="preserve">  2012-2013</w:t>
      </w:r>
    </w:p>
    <w:p w:rsidR="00944A9D" w:rsidRPr="00206337" w:rsidRDefault="00944A9D" w:rsidP="003C1548">
      <w:pPr>
        <w:spacing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3C4675">
        <w:rPr>
          <w:rFonts w:ascii="Times New Roman" w:hAnsi="Times New Roman"/>
          <w:b/>
          <w:sz w:val="24"/>
          <w:szCs w:val="24"/>
        </w:rPr>
        <w:t>Brasília- DF</w:t>
      </w:r>
    </w:p>
    <w:p w:rsidR="00944A9D" w:rsidRPr="003C4675" w:rsidRDefault="00944A9D" w:rsidP="00416FCB">
      <w:pPr>
        <w:spacing w:line="480" w:lineRule="auto"/>
        <w:jc w:val="both"/>
        <w:rPr>
          <w:rFonts w:ascii="Times New Roman" w:hAnsi="Times New Roman"/>
          <w:sz w:val="48"/>
          <w:szCs w:val="48"/>
        </w:rPr>
      </w:pPr>
    </w:p>
    <w:p w:rsidR="00944A9D" w:rsidRDefault="00944A9D" w:rsidP="00416FCB">
      <w:pPr>
        <w:spacing w:line="240" w:lineRule="auto"/>
        <w:jc w:val="both"/>
        <w:rPr>
          <w:rFonts w:ascii="Times New Roman" w:hAnsi="Times New Roman"/>
          <w:b/>
          <w:sz w:val="48"/>
          <w:szCs w:val="48"/>
        </w:rPr>
      </w:pPr>
    </w:p>
    <w:p w:rsidR="00944A9D" w:rsidRDefault="00944A9D" w:rsidP="00416FCB">
      <w:pPr>
        <w:spacing w:line="240" w:lineRule="auto"/>
        <w:jc w:val="both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Relato de caso:</w:t>
      </w:r>
    </w:p>
    <w:p w:rsidR="00944A9D" w:rsidRDefault="00944A9D" w:rsidP="00416FCB">
      <w:pPr>
        <w:spacing w:line="240" w:lineRule="auto"/>
        <w:jc w:val="both"/>
        <w:rPr>
          <w:rFonts w:ascii="Times New Roman" w:hAnsi="Times New Roman"/>
          <w:b/>
          <w:sz w:val="48"/>
          <w:szCs w:val="48"/>
        </w:rPr>
      </w:pPr>
    </w:p>
    <w:p w:rsidR="00944A9D" w:rsidRPr="003C4675" w:rsidRDefault="00944A9D" w:rsidP="00416FCB">
      <w:pPr>
        <w:spacing w:line="480" w:lineRule="auto"/>
        <w:jc w:val="both"/>
        <w:rPr>
          <w:rFonts w:ascii="Times New Roman" w:hAnsi="Times New Roman"/>
          <w:b/>
          <w:sz w:val="48"/>
          <w:szCs w:val="48"/>
        </w:rPr>
      </w:pPr>
      <w:r w:rsidRPr="003C4675">
        <w:rPr>
          <w:rFonts w:ascii="Times New Roman" w:hAnsi="Times New Roman"/>
          <w:b/>
          <w:sz w:val="48"/>
          <w:szCs w:val="48"/>
        </w:rPr>
        <w:t xml:space="preserve">Síndrome Hemolítico-Urêmica Atípica: </w:t>
      </w:r>
      <w:r>
        <w:rPr>
          <w:rFonts w:ascii="Times New Roman" w:hAnsi="Times New Roman"/>
          <w:b/>
          <w:sz w:val="48"/>
          <w:szCs w:val="48"/>
        </w:rPr>
        <w:t>D</w:t>
      </w:r>
      <w:r w:rsidRPr="003C4675">
        <w:rPr>
          <w:rFonts w:ascii="Times New Roman" w:hAnsi="Times New Roman"/>
          <w:b/>
          <w:sz w:val="48"/>
          <w:szCs w:val="48"/>
        </w:rPr>
        <w:t>iagnóstico precoce e evolução.</w:t>
      </w:r>
    </w:p>
    <w:p w:rsidR="00944A9D" w:rsidRDefault="00944A9D" w:rsidP="00416FCB">
      <w:pPr>
        <w:spacing w:line="480" w:lineRule="auto"/>
        <w:jc w:val="center"/>
        <w:rPr>
          <w:rFonts w:ascii="Times New Roman" w:hAnsi="Times New Roman"/>
          <w:sz w:val="32"/>
          <w:szCs w:val="32"/>
        </w:rPr>
      </w:pPr>
    </w:p>
    <w:p w:rsidR="00944A9D" w:rsidRDefault="00944A9D" w:rsidP="00416FCB">
      <w:pPr>
        <w:spacing w:line="48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944A9D" w:rsidRDefault="00944A9D" w:rsidP="00416FCB">
      <w:pPr>
        <w:spacing w:line="48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Monografia de Conclusão da Residência Médica em Pediatria</w:t>
      </w:r>
    </w:p>
    <w:p w:rsidR="00944A9D" w:rsidRPr="00D63F75" w:rsidRDefault="00944A9D" w:rsidP="00416FCB">
      <w:pPr>
        <w:spacing w:line="480" w:lineRule="auto"/>
        <w:jc w:val="right"/>
        <w:rPr>
          <w:rFonts w:ascii="Times New Roman" w:hAnsi="Times New Roman"/>
          <w:b/>
          <w:sz w:val="24"/>
          <w:szCs w:val="24"/>
        </w:rPr>
      </w:pPr>
      <w:r w:rsidRPr="00D63F75">
        <w:rPr>
          <w:rFonts w:ascii="Times New Roman" w:hAnsi="Times New Roman"/>
          <w:b/>
          <w:sz w:val="24"/>
          <w:szCs w:val="24"/>
        </w:rPr>
        <w:t xml:space="preserve">Residente </w:t>
      </w:r>
      <w:r>
        <w:rPr>
          <w:rFonts w:ascii="Times New Roman" w:hAnsi="Times New Roman"/>
          <w:b/>
          <w:sz w:val="24"/>
          <w:szCs w:val="24"/>
        </w:rPr>
        <w:t>de Pediatria</w:t>
      </w:r>
      <w:r w:rsidRPr="00D63F75">
        <w:rPr>
          <w:rFonts w:ascii="Times New Roman" w:hAnsi="Times New Roman"/>
          <w:b/>
          <w:sz w:val="24"/>
          <w:szCs w:val="24"/>
        </w:rPr>
        <w:t>: Leiliane Ferreira Sampaio</w:t>
      </w:r>
    </w:p>
    <w:p w:rsidR="00944A9D" w:rsidRDefault="00944A9D" w:rsidP="00416FCB">
      <w:pPr>
        <w:spacing w:line="48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Orientadora: Sylvia Maria Leite</w:t>
      </w:r>
      <w:r w:rsidRPr="00D63F75">
        <w:rPr>
          <w:rFonts w:ascii="Times New Roman" w:hAnsi="Times New Roman"/>
          <w:b/>
          <w:sz w:val="24"/>
          <w:szCs w:val="24"/>
        </w:rPr>
        <w:t xml:space="preserve"> Freire</w:t>
      </w:r>
    </w:p>
    <w:p w:rsidR="00944A9D" w:rsidRDefault="00944A9D" w:rsidP="003C1548">
      <w:pPr>
        <w:spacing w:line="480" w:lineRule="auto"/>
        <w:jc w:val="center"/>
        <w:rPr>
          <w:rFonts w:ascii="Times New Roman" w:hAnsi="Times New Roman"/>
          <w:b/>
          <w:sz w:val="24"/>
          <w:szCs w:val="24"/>
        </w:rPr>
      </w:pPr>
      <w:hyperlink r:id="rId5" w:history="1">
        <w:r w:rsidRPr="00D64E4F">
          <w:rPr>
            <w:rStyle w:val="Hyperlink"/>
            <w:rFonts w:ascii="Times New Roman" w:hAnsi="Times New Roman"/>
            <w:b/>
            <w:sz w:val="24"/>
            <w:szCs w:val="24"/>
          </w:rPr>
          <w:t>www.paulomargotto.com.br</w:t>
        </w:r>
      </w:hyperlink>
    </w:p>
    <w:p w:rsidR="00944A9D" w:rsidRDefault="00944A9D" w:rsidP="00416FCB">
      <w:pPr>
        <w:spacing w:line="48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944A9D" w:rsidRDefault="00944A9D" w:rsidP="00416FCB">
      <w:pPr>
        <w:spacing w:line="48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944A9D" w:rsidRDefault="00944A9D" w:rsidP="00416FCB">
      <w:pPr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Índice:</w:t>
      </w:r>
    </w:p>
    <w:p w:rsidR="00944A9D" w:rsidRPr="005B26DE" w:rsidRDefault="00944A9D" w:rsidP="00416FCB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B26DE">
        <w:rPr>
          <w:rFonts w:ascii="Times New Roman" w:hAnsi="Times New Roman"/>
          <w:sz w:val="24"/>
          <w:szCs w:val="24"/>
        </w:rPr>
        <w:t>Relato de caso:</w:t>
      </w:r>
    </w:p>
    <w:p w:rsidR="00944A9D" w:rsidRPr="005B26DE" w:rsidRDefault="00944A9D" w:rsidP="00416FCB">
      <w:pPr>
        <w:pStyle w:val="ListParagraph"/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B26DE">
        <w:rPr>
          <w:rFonts w:ascii="Times New Roman" w:hAnsi="Times New Roman"/>
          <w:sz w:val="24"/>
          <w:szCs w:val="24"/>
        </w:rPr>
        <w:t>Síndrome Hemolítico-Urêmica Atípica: diagnóstico precoce e evolução.</w:t>
      </w:r>
    </w:p>
    <w:p w:rsidR="00944A9D" w:rsidRPr="005B26DE" w:rsidRDefault="00944A9D" w:rsidP="00416FCB">
      <w:pPr>
        <w:pStyle w:val="ListParagraph"/>
        <w:spacing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 </w:t>
      </w:r>
      <w:r w:rsidRPr="005B26DE">
        <w:rPr>
          <w:rFonts w:ascii="Times New Roman" w:hAnsi="Times New Roman"/>
          <w:sz w:val="24"/>
          <w:szCs w:val="24"/>
        </w:rPr>
        <w:t xml:space="preserve">Objetivos      </w:t>
      </w:r>
      <w:r>
        <w:rPr>
          <w:rFonts w:ascii="Times New Roman" w:hAnsi="Times New Roman"/>
          <w:sz w:val="24"/>
          <w:szCs w:val="24"/>
        </w:rPr>
        <w:t xml:space="preserve">                 ---------------</w:t>
      </w:r>
      <w:r w:rsidRPr="005B26DE">
        <w:rPr>
          <w:rFonts w:ascii="Times New Roman" w:hAnsi="Times New Roman"/>
          <w:sz w:val="24"/>
          <w:szCs w:val="24"/>
        </w:rPr>
        <w:t>----------------</w:t>
      </w:r>
      <w:r>
        <w:rPr>
          <w:rFonts w:ascii="Times New Roman" w:hAnsi="Times New Roman"/>
          <w:sz w:val="24"/>
          <w:szCs w:val="24"/>
        </w:rPr>
        <w:t xml:space="preserve">----------------------      </w:t>
      </w:r>
      <w:r w:rsidRPr="005B26DE">
        <w:rPr>
          <w:rFonts w:ascii="Times New Roman" w:hAnsi="Times New Roman"/>
          <w:sz w:val="24"/>
          <w:szCs w:val="24"/>
        </w:rPr>
        <w:t xml:space="preserve">  3</w:t>
      </w:r>
    </w:p>
    <w:p w:rsidR="00944A9D" w:rsidRPr="005B26DE" w:rsidRDefault="00944A9D" w:rsidP="00416FCB">
      <w:pPr>
        <w:pStyle w:val="ListParagraph"/>
        <w:spacing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 Descrição                      --</w:t>
      </w:r>
      <w:r w:rsidRPr="005B26DE">
        <w:rPr>
          <w:rFonts w:ascii="Times New Roman" w:hAnsi="Times New Roman"/>
          <w:sz w:val="24"/>
          <w:szCs w:val="24"/>
        </w:rPr>
        <w:t>----------------------</w:t>
      </w:r>
      <w:r>
        <w:rPr>
          <w:rFonts w:ascii="Times New Roman" w:hAnsi="Times New Roman"/>
          <w:sz w:val="24"/>
          <w:szCs w:val="24"/>
        </w:rPr>
        <w:t xml:space="preserve">-----------------------------    </w:t>
      </w:r>
      <w:r w:rsidRPr="005B26D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26D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5B26DE">
        <w:rPr>
          <w:rFonts w:ascii="Times New Roman" w:hAnsi="Times New Roman"/>
          <w:sz w:val="24"/>
          <w:szCs w:val="24"/>
        </w:rPr>
        <w:t>3</w:t>
      </w:r>
    </w:p>
    <w:p w:rsidR="00944A9D" w:rsidRPr="005B26DE" w:rsidRDefault="00944A9D" w:rsidP="00416FCB">
      <w:pPr>
        <w:pStyle w:val="ListParagraph"/>
        <w:spacing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1.3 </w:t>
      </w:r>
      <w:r w:rsidRPr="005B26DE">
        <w:rPr>
          <w:rFonts w:ascii="Times New Roman" w:hAnsi="Times New Roman"/>
          <w:sz w:val="24"/>
          <w:szCs w:val="24"/>
        </w:rPr>
        <w:t>Comen</w:t>
      </w:r>
      <w:r>
        <w:rPr>
          <w:rFonts w:ascii="Times New Roman" w:hAnsi="Times New Roman"/>
          <w:sz w:val="24"/>
          <w:szCs w:val="24"/>
        </w:rPr>
        <w:t>tários                  ---------</w:t>
      </w:r>
      <w:r w:rsidRPr="005B26DE">
        <w:rPr>
          <w:rFonts w:ascii="Times New Roman" w:hAnsi="Times New Roman"/>
          <w:sz w:val="24"/>
          <w:szCs w:val="24"/>
        </w:rPr>
        <w:t>-------------------</w:t>
      </w:r>
      <w:r>
        <w:rPr>
          <w:rFonts w:ascii="Times New Roman" w:hAnsi="Times New Roman"/>
          <w:sz w:val="24"/>
          <w:szCs w:val="24"/>
        </w:rPr>
        <w:t>-------------------------</w:t>
      </w:r>
      <w:r w:rsidRPr="005B26DE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5B26DE">
        <w:rPr>
          <w:rFonts w:ascii="Times New Roman" w:hAnsi="Times New Roman"/>
          <w:sz w:val="24"/>
          <w:szCs w:val="24"/>
        </w:rPr>
        <w:t>5</w:t>
      </w:r>
    </w:p>
    <w:p w:rsidR="00944A9D" w:rsidRPr="005B26DE" w:rsidRDefault="00944A9D" w:rsidP="00416FCB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B26DE">
        <w:rPr>
          <w:rFonts w:ascii="Times New Roman" w:hAnsi="Times New Roman"/>
          <w:sz w:val="24"/>
          <w:szCs w:val="24"/>
        </w:rPr>
        <w:t xml:space="preserve">Tabela 01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5B26DE">
        <w:rPr>
          <w:rFonts w:ascii="Times New Roman" w:hAnsi="Times New Roman"/>
          <w:sz w:val="24"/>
          <w:szCs w:val="24"/>
        </w:rPr>
        <w:t xml:space="preserve"> -----------------------------------------</w:t>
      </w:r>
      <w:r>
        <w:rPr>
          <w:rFonts w:ascii="Times New Roman" w:hAnsi="Times New Roman"/>
          <w:sz w:val="24"/>
          <w:szCs w:val="24"/>
        </w:rPr>
        <w:t xml:space="preserve">------------      </w:t>
      </w:r>
      <w:r w:rsidRPr="005B26DE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26DE">
        <w:rPr>
          <w:rFonts w:ascii="Times New Roman" w:hAnsi="Times New Roman"/>
          <w:sz w:val="24"/>
          <w:szCs w:val="24"/>
        </w:rPr>
        <w:t>9</w:t>
      </w:r>
    </w:p>
    <w:p w:rsidR="00944A9D" w:rsidRPr="005B26DE" w:rsidRDefault="00944A9D" w:rsidP="00416FCB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B26DE">
        <w:rPr>
          <w:rFonts w:ascii="Times New Roman" w:hAnsi="Times New Roman"/>
          <w:sz w:val="24"/>
          <w:szCs w:val="24"/>
        </w:rPr>
        <w:t xml:space="preserve">Referências Bibliográficas 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26DE">
        <w:rPr>
          <w:rFonts w:ascii="Times New Roman" w:hAnsi="Times New Roman"/>
          <w:sz w:val="24"/>
          <w:szCs w:val="24"/>
        </w:rPr>
        <w:t>-------------------------</w:t>
      </w:r>
      <w:r>
        <w:rPr>
          <w:rFonts w:ascii="Times New Roman" w:hAnsi="Times New Roman"/>
          <w:sz w:val="24"/>
          <w:szCs w:val="24"/>
        </w:rPr>
        <w:t xml:space="preserve">----------------------------      </w:t>
      </w:r>
      <w:r w:rsidRPr="005B26DE">
        <w:rPr>
          <w:rFonts w:ascii="Times New Roman" w:hAnsi="Times New Roman"/>
          <w:sz w:val="24"/>
          <w:szCs w:val="24"/>
        </w:rPr>
        <w:t>10</w:t>
      </w:r>
    </w:p>
    <w:p w:rsidR="00944A9D" w:rsidRDefault="00944A9D" w:rsidP="0023052A">
      <w:pPr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44A9D" w:rsidRDefault="00944A9D" w:rsidP="0023052A">
      <w:pPr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44A9D" w:rsidRDefault="00944A9D" w:rsidP="0023052A">
      <w:pPr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44A9D" w:rsidRDefault="00944A9D" w:rsidP="0023052A">
      <w:pPr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44A9D" w:rsidRDefault="00944A9D" w:rsidP="0023052A">
      <w:pPr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44A9D" w:rsidRDefault="00944A9D" w:rsidP="0023052A">
      <w:pPr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44A9D" w:rsidRDefault="00944A9D" w:rsidP="0023052A">
      <w:pPr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44A9D" w:rsidRDefault="00944A9D" w:rsidP="0023052A">
      <w:pPr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44A9D" w:rsidRDefault="00944A9D" w:rsidP="0023052A">
      <w:pPr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44A9D" w:rsidRDefault="00944A9D" w:rsidP="0023052A">
      <w:pPr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44A9D" w:rsidRDefault="00944A9D" w:rsidP="0023052A">
      <w:pPr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44A9D" w:rsidRDefault="00944A9D" w:rsidP="0023052A">
      <w:pPr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44A9D" w:rsidRPr="00EC5AE4" w:rsidRDefault="00944A9D" w:rsidP="0023052A">
      <w:pPr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  <w:r w:rsidRPr="00EC5AE4">
        <w:rPr>
          <w:rFonts w:ascii="Times New Roman" w:hAnsi="Times New Roman"/>
          <w:b/>
          <w:sz w:val="24"/>
          <w:szCs w:val="24"/>
        </w:rPr>
        <w:t xml:space="preserve">Relato de caso: </w:t>
      </w:r>
    </w:p>
    <w:p w:rsidR="00944A9D" w:rsidRPr="00A547AC" w:rsidRDefault="00944A9D" w:rsidP="0023052A">
      <w:pPr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  <w:r w:rsidRPr="0051080E">
        <w:rPr>
          <w:rFonts w:ascii="Times New Roman" w:hAnsi="Times New Roman"/>
          <w:b/>
          <w:sz w:val="24"/>
          <w:szCs w:val="24"/>
        </w:rPr>
        <w:t>Síndrome H</w:t>
      </w:r>
      <w:r>
        <w:rPr>
          <w:rFonts w:ascii="Times New Roman" w:hAnsi="Times New Roman"/>
          <w:b/>
          <w:sz w:val="24"/>
          <w:szCs w:val="24"/>
        </w:rPr>
        <w:t>emolítico-Urê</w:t>
      </w:r>
      <w:r w:rsidRPr="0051080E">
        <w:rPr>
          <w:rFonts w:ascii="Times New Roman" w:hAnsi="Times New Roman"/>
          <w:b/>
          <w:sz w:val="24"/>
          <w:szCs w:val="24"/>
        </w:rPr>
        <w:t>mica Atípica: diagnóstico precoce e evolução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944A9D" w:rsidRPr="00EC5AE4" w:rsidRDefault="00944A9D" w:rsidP="0023052A">
      <w:pPr>
        <w:spacing w:before="100" w:beforeAutospacing="1" w:after="100" w:afterAutospacing="1" w:line="480" w:lineRule="auto"/>
        <w:jc w:val="both"/>
        <w:rPr>
          <w:rFonts w:ascii="Times New Roman" w:hAnsi="Times New Roman"/>
          <w:sz w:val="24"/>
          <w:szCs w:val="24"/>
        </w:rPr>
      </w:pPr>
    </w:p>
    <w:p w:rsidR="00944A9D" w:rsidRPr="00EC5AE4" w:rsidRDefault="00944A9D" w:rsidP="0023052A">
      <w:pPr>
        <w:spacing w:before="100" w:beforeAutospacing="1" w:after="100" w:afterAutospacing="1" w:line="480" w:lineRule="auto"/>
        <w:jc w:val="both"/>
        <w:rPr>
          <w:rFonts w:ascii="Times New Roman" w:hAnsi="Times New Roman"/>
          <w:b/>
          <w:sz w:val="24"/>
          <w:szCs w:val="24"/>
          <w:lang w:eastAsia="pt-BR"/>
        </w:rPr>
      </w:pPr>
      <w:r w:rsidRPr="00EC5AE4">
        <w:rPr>
          <w:rFonts w:ascii="Times New Roman" w:hAnsi="Times New Roman"/>
          <w:b/>
          <w:sz w:val="24"/>
          <w:szCs w:val="24"/>
        </w:rPr>
        <w:t>Objetivo:</w:t>
      </w:r>
      <w:r w:rsidRPr="00EC5AE4">
        <w:rPr>
          <w:rFonts w:ascii="Times New Roman" w:hAnsi="Times New Roman"/>
          <w:b/>
          <w:sz w:val="24"/>
          <w:szCs w:val="24"/>
          <w:lang w:eastAsia="pt-BR"/>
        </w:rPr>
        <w:t xml:space="preserve"> </w:t>
      </w:r>
    </w:p>
    <w:p w:rsidR="00944A9D" w:rsidRDefault="00944A9D" w:rsidP="0023052A">
      <w:pPr>
        <w:spacing w:before="100" w:beforeAutospacing="1" w:after="100" w:afterAutospacing="1" w:line="48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w:t>Síndrome hemolítico-</w:t>
      </w:r>
      <w:r w:rsidRPr="00EC5AE4">
        <w:rPr>
          <w:rFonts w:ascii="Times New Roman" w:hAnsi="Times New Roman"/>
          <w:sz w:val="24"/>
          <w:szCs w:val="24"/>
          <w:lang w:eastAsia="pt-BR"/>
        </w:rPr>
        <w:t>urêmica (SHU) é uma doença rara caracterizada pela tríade de anemia hemolítica microangiopática,</w:t>
      </w:r>
      <w:r>
        <w:rPr>
          <w:rFonts w:ascii="Times New Roman" w:hAnsi="Times New Roman"/>
          <w:sz w:val="24"/>
          <w:szCs w:val="24"/>
          <w:lang w:eastAsia="pt-BR"/>
        </w:rPr>
        <w:t xml:space="preserve"> trombocitopenia e doença renal </w:t>
      </w:r>
      <w:r w:rsidRPr="00EA1E15">
        <w:rPr>
          <w:rFonts w:ascii="Times New Roman" w:hAnsi="Times New Roman"/>
          <w:sz w:val="24"/>
          <w:szCs w:val="24"/>
          <w:vertAlign w:val="superscript"/>
          <w:lang w:eastAsia="pt-BR"/>
        </w:rPr>
        <w:t>1,2,3,4,5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,6</w:t>
      </w:r>
      <w:r w:rsidRPr="00EC5AE4">
        <w:rPr>
          <w:rFonts w:ascii="Times New Roman" w:hAnsi="Times New Roman"/>
          <w:sz w:val="24"/>
          <w:szCs w:val="24"/>
          <w:lang w:eastAsia="pt-BR"/>
        </w:rPr>
        <w:t xml:space="preserve">. É a principal causa de insuficiência renal aguda em crianças menores de três anos 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7</w:t>
      </w:r>
      <w:r w:rsidRPr="00EC5AE4">
        <w:rPr>
          <w:rFonts w:ascii="Times New Roman" w:hAnsi="Times New Roman"/>
          <w:sz w:val="24"/>
          <w:szCs w:val="24"/>
          <w:lang w:eastAsia="pt-BR"/>
        </w:rPr>
        <w:t xml:space="preserve">. A maioria dos casos, forma típica, é precedida </w:t>
      </w:r>
      <w:r w:rsidRPr="0051080E">
        <w:rPr>
          <w:rFonts w:ascii="Times New Roman" w:hAnsi="Times New Roman"/>
          <w:sz w:val="24"/>
          <w:szCs w:val="24"/>
          <w:lang w:eastAsia="pt-BR"/>
        </w:rPr>
        <w:t xml:space="preserve">por doença diarreica induzida por infecção </w:t>
      </w:r>
      <w:r w:rsidRPr="0051080E">
        <w:rPr>
          <w:rFonts w:ascii="Times New Roman" w:hAnsi="Times New Roman"/>
          <w:i/>
          <w:sz w:val="24"/>
          <w:szCs w:val="24"/>
          <w:lang w:eastAsia="pt-BR"/>
        </w:rPr>
        <w:t>Escherichia coli</w:t>
      </w:r>
      <w:r w:rsidRPr="0051080E">
        <w:rPr>
          <w:rFonts w:ascii="Times New Roman" w:hAnsi="Times New Roman"/>
          <w:sz w:val="24"/>
          <w:szCs w:val="24"/>
          <w:lang w:eastAsia="pt-BR"/>
        </w:rPr>
        <w:t xml:space="preserve"> produtora de toxina Shiga, ocorre esporadicamente ou em epidemias,</w:t>
      </w:r>
      <w:r>
        <w:rPr>
          <w:rFonts w:ascii="Times New Roman" w:hAnsi="Times New Roman"/>
          <w:sz w:val="24"/>
          <w:szCs w:val="24"/>
          <w:lang w:eastAsia="pt-BR"/>
        </w:rPr>
        <w:t xml:space="preserve"> e tem bom prognóstico </w:t>
      </w:r>
      <w:r w:rsidRPr="00AD5357">
        <w:rPr>
          <w:rFonts w:ascii="Times New Roman" w:hAnsi="Times New Roman"/>
          <w:sz w:val="24"/>
          <w:szCs w:val="24"/>
          <w:vertAlign w:val="superscript"/>
          <w:lang w:eastAsia="pt-BR"/>
        </w:rPr>
        <w:t>1,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3</w:t>
      </w:r>
      <w:r w:rsidRPr="0051080E">
        <w:rPr>
          <w:rFonts w:ascii="Times New Roman" w:hAnsi="Times New Roman"/>
          <w:sz w:val="24"/>
          <w:szCs w:val="24"/>
          <w:lang w:eastAsia="pt-BR"/>
        </w:rPr>
        <w:t>. A forma atípica ocorre</w:t>
      </w:r>
      <w:r w:rsidRPr="00EC5AE4">
        <w:rPr>
          <w:rFonts w:ascii="Times New Roman" w:hAnsi="Times New Roman"/>
          <w:sz w:val="24"/>
          <w:szCs w:val="24"/>
          <w:lang w:eastAsia="pt-BR"/>
        </w:rPr>
        <w:t xml:space="preserve"> em 5-10% dos casos, </w:t>
      </w:r>
      <w:r>
        <w:rPr>
          <w:rFonts w:ascii="Times New Roman" w:hAnsi="Times New Roman"/>
          <w:sz w:val="24"/>
          <w:szCs w:val="24"/>
        </w:rPr>
        <w:t>caracterizada por não estar relacionada</w:t>
      </w:r>
      <w:r w:rsidRPr="00DE3158">
        <w:rPr>
          <w:rFonts w:ascii="Times New Roman" w:hAnsi="Times New Roman"/>
          <w:sz w:val="24"/>
          <w:szCs w:val="24"/>
        </w:rPr>
        <w:t xml:space="preserve"> à toxina Shiga</w:t>
      </w:r>
      <w:r>
        <w:rPr>
          <w:rFonts w:ascii="Times New Roman" w:hAnsi="Times New Roman"/>
          <w:sz w:val="24"/>
          <w:szCs w:val="24"/>
        </w:rPr>
        <w:t xml:space="preserve">, </w:t>
      </w:r>
      <w:r w:rsidRPr="00EC5AE4">
        <w:rPr>
          <w:rFonts w:ascii="Times New Roman" w:hAnsi="Times New Roman"/>
          <w:sz w:val="24"/>
          <w:szCs w:val="24"/>
          <w:lang w:eastAsia="pt-BR"/>
        </w:rPr>
        <w:t>tem prognóstico re</w:t>
      </w:r>
      <w:r>
        <w:rPr>
          <w:rFonts w:ascii="Times New Roman" w:hAnsi="Times New Roman"/>
          <w:sz w:val="24"/>
          <w:szCs w:val="24"/>
          <w:lang w:eastAsia="pt-BR"/>
        </w:rPr>
        <w:t>servado. Está</w:t>
      </w:r>
      <w:r>
        <w:rPr>
          <w:rFonts w:ascii="Times New Roman" w:hAnsi="Times New Roman"/>
          <w:sz w:val="24"/>
          <w:szCs w:val="24"/>
        </w:rPr>
        <w:t xml:space="preserve"> associada a diversos fatores, entre eles, alterações genéticas, doença pneumocócica, </w:t>
      </w:r>
      <w:r w:rsidRPr="00DE3158">
        <w:rPr>
          <w:rFonts w:ascii="Times New Roman" w:hAnsi="Times New Roman"/>
          <w:sz w:val="24"/>
          <w:szCs w:val="24"/>
          <w:lang w:eastAsia="pt-BR"/>
        </w:rPr>
        <w:t>auto-imune, HIV, transplante, irradiação</w:t>
      </w:r>
      <w:r>
        <w:rPr>
          <w:rFonts w:ascii="Times New Roman" w:hAnsi="Times New Roman"/>
          <w:sz w:val="24"/>
          <w:szCs w:val="24"/>
          <w:lang w:eastAsia="pt-BR"/>
        </w:rPr>
        <w:t xml:space="preserve"> e</w:t>
      </w:r>
      <w:r w:rsidRPr="00DE3158">
        <w:rPr>
          <w:rFonts w:ascii="Times New Roman" w:hAnsi="Times New Roman"/>
          <w:sz w:val="24"/>
          <w:szCs w:val="24"/>
          <w:lang w:eastAsia="pt-BR"/>
        </w:rPr>
        <w:t xml:space="preserve"> uso </w:t>
      </w:r>
      <w:r>
        <w:rPr>
          <w:rFonts w:ascii="Times New Roman" w:hAnsi="Times New Roman"/>
          <w:sz w:val="24"/>
          <w:szCs w:val="24"/>
          <w:lang w:eastAsia="pt-BR"/>
        </w:rPr>
        <w:t xml:space="preserve">prévio </w:t>
      </w:r>
      <w:r w:rsidRPr="00DE3158">
        <w:rPr>
          <w:rFonts w:ascii="Times New Roman" w:hAnsi="Times New Roman"/>
          <w:sz w:val="24"/>
          <w:szCs w:val="24"/>
          <w:lang w:eastAsia="pt-BR"/>
        </w:rPr>
        <w:t>de drogas</w: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  <w:r w:rsidRPr="00AD5357">
        <w:rPr>
          <w:rFonts w:ascii="Times New Roman" w:hAnsi="Times New Roman"/>
          <w:sz w:val="24"/>
          <w:szCs w:val="24"/>
          <w:vertAlign w:val="superscript"/>
          <w:lang w:eastAsia="pt-BR"/>
        </w:rPr>
        <w:t>1,2,5</w:t>
      </w:r>
      <w:r w:rsidRPr="00DE3158">
        <w:rPr>
          <w:rFonts w:ascii="Times New Roman" w:hAnsi="Times New Roman"/>
          <w:sz w:val="24"/>
          <w:szCs w:val="24"/>
          <w:lang w:eastAsia="pt-BR"/>
        </w:rPr>
        <w:t>.</w:t>
      </w:r>
      <w:r>
        <w:rPr>
          <w:rFonts w:ascii="Times New Roman" w:hAnsi="Times New Roman"/>
          <w:sz w:val="24"/>
          <w:szCs w:val="24"/>
          <w:lang w:eastAsia="pt-BR"/>
        </w:rPr>
        <w:t xml:space="preserve"> As alterações genéticas conferem pior prognóstico, pois </w:t>
      </w:r>
      <w:r>
        <w:rPr>
          <w:rFonts w:ascii="Times New Roman" w:hAnsi="Times New Roman"/>
          <w:sz w:val="24"/>
          <w:szCs w:val="24"/>
        </w:rPr>
        <w:t xml:space="preserve">tem </w:t>
      </w:r>
      <w:r>
        <w:rPr>
          <w:rFonts w:ascii="Times New Roman" w:hAnsi="Times New Roman"/>
          <w:sz w:val="24"/>
          <w:szCs w:val="24"/>
          <w:lang w:eastAsia="pt-BR"/>
        </w:rPr>
        <w:t>sido associadas</w:t>
      </w:r>
      <w:r w:rsidRPr="00DE3158">
        <w:rPr>
          <w:rFonts w:ascii="Times New Roman" w:hAnsi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/>
          <w:sz w:val="24"/>
          <w:szCs w:val="24"/>
          <w:lang w:eastAsia="pt-BR"/>
        </w:rPr>
        <w:t>à</w:t>
      </w:r>
      <w:r w:rsidRPr="00DE3158">
        <w:rPr>
          <w:rFonts w:ascii="Times New Roman" w:hAnsi="Times New Roman"/>
          <w:sz w:val="24"/>
          <w:szCs w:val="24"/>
          <w:lang w:eastAsia="pt-BR"/>
        </w:rPr>
        <w:t xml:space="preserve"> progressão para IRC, com alto risco de recorrência em </w:t>
      </w:r>
      <w:r>
        <w:rPr>
          <w:rFonts w:ascii="Times New Roman" w:hAnsi="Times New Roman"/>
          <w:sz w:val="24"/>
          <w:szCs w:val="24"/>
          <w:lang w:eastAsia="pt-BR"/>
        </w:rPr>
        <w:t xml:space="preserve">pacientes transplantados </w:t>
      </w:r>
      <w:r w:rsidRPr="00AD5357">
        <w:rPr>
          <w:rFonts w:ascii="Times New Roman" w:hAnsi="Times New Roman"/>
          <w:sz w:val="24"/>
          <w:szCs w:val="24"/>
          <w:vertAlign w:val="superscript"/>
          <w:lang w:eastAsia="pt-BR"/>
        </w:rPr>
        <w:t>1,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8,9,10</w:t>
      </w:r>
      <w:r>
        <w:rPr>
          <w:rFonts w:ascii="Times New Roman" w:hAnsi="Times New Roman"/>
          <w:sz w:val="24"/>
          <w:szCs w:val="24"/>
          <w:lang w:eastAsia="pt-BR"/>
        </w:rPr>
        <w:t>.</w:t>
      </w:r>
    </w:p>
    <w:p w:rsidR="00944A9D" w:rsidRPr="003E7E92" w:rsidRDefault="00944A9D" w:rsidP="003E7E92">
      <w:pPr>
        <w:spacing w:before="100" w:beforeAutospacing="1" w:after="100" w:afterAutospacing="1" w:line="480" w:lineRule="auto"/>
        <w:jc w:val="both"/>
        <w:rPr>
          <w:rFonts w:ascii="Times New Roman" w:hAnsi="Times New Roman"/>
          <w:sz w:val="24"/>
          <w:szCs w:val="24"/>
        </w:rPr>
      </w:pPr>
      <w:r w:rsidRPr="00EC5AE4">
        <w:rPr>
          <w:rFonts w:ascii="Times New Roman" w:hAnsi="Times New Roman"/>
          <w:sz w:val="24"/>
          <w:szCs w:val="24"/>
          <w:lang w:eastAsia="pt-BR"/>
        </w:rPr>
        <w:t>Apresentamos o caso clínico de uma cria</w:t>
      </w:r>
      <w:r>
        <w:rPr>
          <w:rFonts w:ascii="Times New Roman" w:hAnsi="Times New Roman"/>
          <w:sz w:val="24"/>
          <w:szCs w:val="24"/>
          <w:lang w:eastAsia="pt-BR"/>
        </w:rPr>
        <w:t>nça com SHU atípica secundária à</w:t>
      </w:r>
      <w:r w:rsidRPr="00EC5AE4">
        <w:rPr>
          <w:rFonts w:ascii="Times New Roman" w:hAnsi="Times New Roman"/>
          <w:sz w:val="24"/>
          <w:szCs w:val="24"/>
          <w:lang w:eastAsia="pt-BR"/>
        </w:rPr>
        <w:t xml:space="preserve"> doença pneumocócica, com evolução rápida e necessidade de diálise, mostrando a importância do conhecimento </w:t>
      </w:r>
      <w:r w:rsidRPr="00CB21F7">
        <w:rPr>
          <w:rFonts w:ascii="Times New Roman" w:hAnsi="Times New Roman"/>
          <w:sz w:val="24"/>
          <w:szCs w:val="24"/>
          <w:lang w:eastAsia="pt-BR"/>
        </w:rPr>
        <w:t xml:space="preserve">dessa enfermidade em nosso meio para o diagnóstico precoce e consequentemente </w:t>
      </w:r>
      <w:r w:rsidRPr="00EC5AE4">
        <w:rPr>
          <w:rFonts w:ascii="Times New Roman" w:hAnsi="Times New Roman"/>
          <w:sz w:val="24"/>
          <w:szCs w:val="24"/>
          <w:lang w:eastAsia="pt-BR"/>
        </w:rPr>
        <w:t xml:space="preserve">redução das possíveis sequelas e dano renal permanente. </w:t>
      </w:r>
    </w:p>
    <w:p w:rsidR="00944A9D" w:rsidRPr="00EC5AE4" w:rsidRDefault="00944A9D" w:rsidP="0023052A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EC5AE4">
        <w:rPr>
          <w:rFonts w:ascii="Times New Roman" w:hAnsi="Times New Roman"/>
          <w:b/>
          <w:sz w:val="24"/>
          <w:szCs w:val="24"/>
        </w:rPr>
        <w:t>Descrição:</w:t>
      </w:r>
      <w:r w:rsidRPr="00EC5AE4">
        <w:rPr>
          <w:rFonts w:ascii="Times New Roman" w:hAnsi="Times New Roman"/>
          <w:sz w:val="24"/>
          <w:szCs w:val="24"/>
        </w:rPr>
        <w:t xml:space="preserve"> </w:t>
      </w:r>
    </w:p>
    <w:p w:rsidR="00944A9D" w:rsidRDefault="00944A9D" w:rsidP="003E7E9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EC5AE4">
        <w:rPr>
          <w:rFonts w:ascii="Times New Roman" w:hAnsi="Times New Roman"/>
          <w:sz w:val="24"/>
          <w:szCs w:val="24"/>
        </w:rPr>
        <w:t xml:space="preserve">Criança de um ano e três meses, sexo masculino, previamente hígida, sem história familiar de doenças renais, foi atendida no pronto-socorro </w:t>
      </w:r>
      <w:r w:rsidRPr="00CB21F7">
        <w:rPr>
          <w:rFonts w:ascii="Times New Roman" w:hAnsi="Times New Roman"/>
          <w:sz w:val="24"/>
          <w:szCs w:val="24"/>
        </w:rPr>
        <w:t xml:space="preserve">com quadro de febre, tosse e cansaço há seis dias, já </w:t>
      </w:r>
      <w:r w:rsidRPr="004F2116">
        <w:rPr>
          <w:rFonts w:ascii="Times New Roman" w:hAnsi="Times New Roman"/>
          <w:sz w:val="24"/>
          <w:szCs w:val="24"/>
        </w:rPr>
        <w:t xml:space="preserve">em tratamento por pneumonia com amoxicilina. Foram solicitados exames complementares, sendo evidenciada pneumonia extensa, que motivou internação para oxigenoterapia e antibioticoterapia endovenosa com penicilina </w:t>
      </w:r>
      <w:r w:rsidRPr="00D91092">
        <w:rPr>
          <w:rFonts w:ascii="Times New Roman" w:hAnsi="Times New Roman"/>
          <w:sz w:val="24"/>
          <w:szCs w:val="24"/>
        </w:rPr>
        <w:t>cristalina. No 2º dia de internação evoluiu com piora do estado geral e palidez cutânea</w:t>
      </w:r>
      <w:r w:rsidRPr="004F2116">
        <w:rPr>
          <w:rFonts w:ascii="Times New Roman" w:hAnsi="Times New Roman"/>
          <w:sz w:val="24"/>
          <w:szCs w:val="24"/>
        </w:rPr>
        <w:t xml:space="preserve"> importante. Coletados novos exames </w:t>
      </w:r>
      <w:r w:rsidRPr="00CB21F7">
        <w:rPr>
          <w:rFonts w:ascii="Times New Roman" w:hAnsi="Times New Roman"/>
          <w:sz w:val="24"/>
          <w:szCs w:val="24"/>
        </w:rPr>
        <w:t>que evidenciaram alteração das transaminases, anemia e leucocitose com desvio à esquerda, sendo feita hipótese diagnóstica (HD) de hepatite transinfecciosa. E</w:t>
      </w:r>
      <w:r>
        <w:rPr>
          <w:rFonts w:ascii="Times New Roman" w:hAnsi="Times New Roman"/>
          <w:sz w:val="24"/>
          <w:szCs w:val="24"/>
        </w:rPr>
        <w:t>voluiu</w:t>
      </w:r>
      <w:r w:rsidRPr="00CB21F7">
        <w:rPr>
          <w:rFonts w:ascii="Times New Roman" w:hAnsi="Times New Roman"/>
          <w:sz w:val="24"/>
          <w:szCs w:val="24"/>
        </w:rPr>
        <w:t xml:space="preserve"> nas horas subsequentes </w:t>
      </w:r>
      <w:r w:rsidRPr="00EC5AE4">
        <w:rPr>
          <w:rFonts w:ascii="Times New Roman" w:hAnsi="Times New Roman"/>
          <w:sz w:val="24"/>
          <w:szCs w:val="24"/>
        </w:rPr>
        <w:t>com piora do desconforto respiratório, crise convulsiva, epista</w:t>
      </w:r>
      <w:r>
        <w:rPr>
          <w:rFonts w:ascii="Times New Roman" w:hAnsi="Times New Roman"/>
          <w:sz w:val="24"/>
          <w:szCs w:val="24"/>
        </w:rPr>
        <w:t>xe e diarré</w:t>
      </w:r>
      <w:r w:rsidRPr="00CB21F7">
        <w:rPr>
          <w:rFonts w:ascii="Times New Roman" w:hAnsi="Times New Roman"/>
          <w:sz w:val="24"/>
          <w:szCs w:val="24"/>
        </w:rPr>
        <w:t>ia sanguinolenta. Diante dos achados, aventada HD de Síndrome Hemolític</w:t>
      </w:r>
      <w:r>
        <w:rPr>
          <w:rFonts w:ascii="Times New Roman" w:hAnsi="Times New Roman"/>
          <w:sz w:val="24"/>
          <w:szCs w:val="24"/>
        </w:rPr>
        <w:t xml:space="preserve">o-Urêmica (SHU) atípica e </w:t>
      </w:r>
      <w:r w:rsidRPr="00EC5AE4">
        <w:rPr>
          <w:rFonts w:ascii="Times New Roman" w:hAnsi="Times New Roman"/>
          <w:sz w:val="24"/>
          <w:szCs w:val="24"/>
        </w:rPr>
        <w:t xml:space="preserve">alterado </w:t>
      </w:r>
      <w:r>
        <w:rPr>
          <w:rFonts w:ascii="Times New Roman" w:hAnsi="Times New Roman"/>
          <w:sz w:val="24"/>
          <w:szCs w:val="24"/>
        </w:rPr>
        <w:t xml:space="preserve">antimicrobiano </w:t>
      </w:r>
      <w:r w:rsidRPr="00EC5AE4">
        <w:rPr>
          <w:rFonts w:ascii="Times New Roman" w:hAnsi="Times New Roman"/>
          <w:sz w:val="24"/>
          <w:szCs w:val="24"/>
        </w:rPr>
        <w:t>para ceftriaxona</w:t>
      </w:r>
      <w:r>
        <w:rPr>
          <w:rFonts w:ascii="Times New Roman" w:hAnsi="Times New Roman"/>
          <w:sz w:val="24"/>
          <w:szCs w:val="24"/>
        </w:rPr>
        <w:t>. Solicitada ainda</w:t>
      </w:r>
      <w:r w:rsidRPr="004F2116">
        <w:rPr>
          <w:rFonts w:ascii="Times New Roman" w:hAnsi="Times New Roman"/>
          <w:sz w:val="24"/>
          <w:szCs w:val="24"/>
        </w:rPr>
        <w:t xml:space="preserve"> tomografia computadorizada de crânio e coletados novos exames, que evidenciara</w:t>
      </w:r>
      <w:r w:rsidRPr="00CB21F7">
        <w:rPr>
          <w:rFonts w:ascii="Times New Roman" w:hAnsi="Times New Roman"/>
          <w:sz w:val="24"/>
          <w:szCs w:val="24"/>
        </w:rPr>
        <w:t xml:space="preserve">m retenção de escórias nitrogenadas e acidose metabólica importante. Neste dia apresentou comprometimento do nível </w:t>
      </w:r>
      <w:r w:rsidRPr="00EC5AE4">
        <w:rPr>
          <w:rFonts w:ascii="Times New Roman" w:hAnsi="Times New Roman"/>
          <w:sz w:val="24"/>
          <w:szCs w:val="24"/>
        </w:rPr>
        <w:t xml:space="preserve">de consciência e anúria, </w:t>
      </w:r>
      <w:r>
        <w:rPr>
          <w:rFonts w:ascii="Times New Roman" w:hAnsi="Times New Roman"/>
          <w:sz w:val="24"/>
          <w:szCs w:val="24"/>
        </w:rPr>
        <w:t>sendo necessário rea</w:t>
      </w:r>
      <w:r w:rsidRPr="004F2116">
        <w:rPr>
          <w:rFonts w:ascii="Times New Roman" w:hAnsi="Times New Roman"/>
          <w:sz w:val="24"/>
          <w:szCs w:val="24"/>
        </w:rPr>
        <w:t>lizar intubação orotraqueal e indicado diálise e monitorização em ambiente de t</w:t>
      </w:r>
      <w:r>
        <w:rPr>
          <w:rFonts w:ascii="Times New Roman" w:hAnsi="Times New Roman"/>
          <w:sz w:val="24"/>
          <w:szCs w:val="24"/>
        </w:rPr>
        <w:t>erap</w:t>
      </w:r>
      <w:r w:rsidRPr="00CB21F7">
        <w:rPr>
          <w:rFonts w:ascii="Times New Roman" w:hAnsi="Times New Roman"/>
          <w:sz w:val="24"/>
          <w:szCs w:val="24"/>
        </w:rPr>
        <w:t>ia intensiva pediátrica. Não foi possível instalar cateter de diálise de imediato devido a sangramento importante</w:t>
      </w:r>
      <w:r>
        <w:rPr>
          <w:rFonts w:ascii="Times New Roman" w:hAnsi="Times New Roman"/>
          <w:sz w:val="24"/>
          <w:szCs w:val="24"/>
        </w:rPr>
        <w:t xml:space="preserve"> no sí</w:t>
      </w:r>
      <w:r w:rsidRPr="00CB21F7">
        <w:rPr>
          <w:rFonts w:ascii="Times New Roman" w:hAnsi="Times New Roman"/>
          <w:sz w:val="24"/>
          <w:szCs w:val="24"/>
        </w:rPr>
        <w:t xml:space="preserve">tio cirúrgico, sendo necessário concentrado de hemácias e plaquetas para estabilização. Encaminhado à UTI </w:t>
      </w:r>
      <w:r w:rsidRPr="00D91092">
        <w:rPr>
          <w:rFonts w:ascii="Times New Roman" w:hAnsi="Times New Roman"/>
          <w:sz w:val="24"/>
          <w:szCs w:val="24"/>
        </w:rPr>
        <w:t>no 3º dia de internação (09/05/13), manteve acidose metabólica, anúria, anemia e</w:t>
      </w:r>
      <w:r w:rsidRPr="00CB21F7">
        <w:rPr>
          <w:rFonts w:ascii="Times New Roman" w:hAnsi="Times New Roman"/>
          <w:sz w:val="24"/>
          <w:szCs w:val="24"/>
        </w:rPr>
        <w:t xml:space="preserve"> plaquetopenia progressivamente pioradas. Realizada correção parcial da acidose, mantido diurético contínuo e prescrito novo concentrado de hemácias e plaquetas. No 4º dia de internação</w:t>
      </w:r>
      <w:r>
        <w:rPr>
          <w:rFonts w:ascii="Times New Roman" w:hAnsi="Times New Roman"/>
          <w:sz w:val="24"/>
          <w:szCs w:val="24"/>
        </w:rPr>
        <w:t xml:space="preserve"> (10/05/13)</w:t>
      </w:r>
      <w:r w:rsidRPr="00CB21F7">
        <w:rPr>
          <w:rFonts w:ascii="Times New Roman" w:hAnsi="Times New Roman"/>
          <w:sz w:val="24"/>
          <w:szCs w:val="24"/>
        </w:rPr>
        <w:t xml:space="preserve"> instalado o cateter de Tenckhoff e iniciada diálise peritoneal. Já em diálise evoluiu com retorno da diurese no 5º dia de internação</w:t>
      </w:r>
      <w:r>
        <w:rPr>
          <w:rFonts w:ascii="Times New Roman" w:hAnsi="Times New Roman"/>
          <w:sz w:val="24"/>
          <w:szCs w:val="24"/>
        </w:rPr>
        <w:t xml:space="preserve"> (11/05/13)</w:t>
      </w:r>
      <w:r w:rsidRPr="00CB21F7">
        <w:rPr>
          <w:rFonts w:ascii="Times New Roman" w:hAnsi="Times New Roman"/>
          <w:sz w:val="24"/>
          <w:szCs w:val="24"/>
        </w:rPr>
        <w:t xml:space="preserve"> e melhora progressiva do quadro geral. Foi transferido para a enfermaria de </w:t>
      </w:r>
      <w:r w:rsidRPr="00D91092">
        <w:rPr>
          <w:rFonts w:ascii="Times New Roman" w:hAnsi="Times New Roman"/>
          <w:sz w:val="24"/>
          <w:szCs w:val="24"/>
        </w:rPr>
        <w:t>nefrologia no 13º dia de internação (19/05/13), onde permaneceu em diálise durante 15 dias, evoluindo com melhora clínica e laboratorial progressivas. Recebeu alta após 28</w:t>
      </w:r>
      <w:r w:rsidRPr="004F2116">
        <w:rPr>
          <w:rFonts w:ascii="Times New Roman" w:hAnsi="Times New Roman"/>
          <w:sz w:val="24"/>
          <w:szCs w:val="24"/>
        </w:rPr>
        <w:t xml:space="preserve"> dias de internação. Hoje com 1 ano e 9 meses, permanece em aco</w:t>
      </w:r>
      <w:r w:rsidRPr="00EC5AE4">
        <w:rPr>
          <w:rFonts w:ascii="Times New Roman" w:hAnsi="Times New Roman"/>
          <w:sz w:val="24"/>
          <w:szCs w:val="24"/>
        </w:rPr>
        <w:t>mpanhamento na n</w:t>
      </w:r>
      <w:r w:rsidRPr="00CB21F7">
        <w:rPr>
          <w:rFonts w:ascii="Times New Roman" w:hAnsi="Times New Roman"/>
          <w:sz w:val="24"/>
          <w:szCs w:val="24"/>
        </w:rPr>
        <w:t>efrologia pediátrica, assintomático e com função renal inalterada.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44A9D" w:rsidRPr="003E7E92" w:rsidRDefault="00944A9D" w:rsidP="003E7E9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944A9D" w:rsidRDefault="00944A9D" w:rsidP="0023052A">
      <w:pPr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  <w:r w:rsidRPr="00EC5AE4">
        <w:rPr>
          <w:rFonts w:ascii="Times New Roman" w:hAnsi="Times New Roman"/>
          <w:b/>
          <w:sz w:val="24"/>
          <w:szCs w:val="24"/>
        </w:rPr>
        <w:t xml:space="preserve">Comentário: </w:t>
      </w:r>
    </w:p>
    <w:p w:rsidR="00944A9D" w:rsidRDefault="00944A9D" w:rsidP="0023052A">
      <w:pPr>
        <w:spacing w:before="100" w:beforeAutospacing="1" w:after="100" w:afterAutospacing="1" w:line="48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w:t>O caso descrito acima configura quadro compatível com Síndrome Hemolítico-U</w:t>
      </w:r>
      <w:r w:rsidRPr="00EC5AE4">
        <w:rPr>
          <w:rFonts w:ascii="Times New Roman" w:hAnsi="Times New Roman"/>
          <w:sz w:val="24"/>
          <w:szCs w:val="24"/>
          <w:lang w:eastAsia="pt-BR"/>
        </w:rPr>
        <w:t>rêmica (SHU)</w:t>
      </w:r>
      <w:r>
        <w:rPr>
          <w:rFonts w:ascii="Times New Roman" w:hAnsi="Times New Roman"/>
          <w:sz w:val="24"/>
          <w:szCs w:val="24"/>
          <w:lang w:eastAsia="pt-BR"/>
        </w:rPr>
        <w:t xml:space="preserve"> com o acometimento em lactente, faixa etária característica da doença, apresentando </w:t>
      </w:r>
      <w:r w:rsidRPr="00EC5AE4">
        <w:rPr>
          <w:rFonts w:ascii="Times New Roman" w:hAnsi="Times New Roman"/>
          <w:sz w:val="24"/>
          <w:szCs w:val="24"/>
          <w:lang w:eastAsia="pt-BR"/>
        </w:rPr>
        <w:t>anemia hemolítica,</w:t>
      </w:r>
      <w:r>
        <w:rPr>
          <w:rFonts w:ascii="Times New Roman" w:hAnsi="Times New Roman"/>
          <w:sz w:val="24"/>
          <w:szCs w:val="24"/>
          <w:lang w:eastAsia="pt-BR"/>
        </w:rPr>
        <w:t xml:space="preserve"> trombocitopenia e doença renal </w:t>
      </w:r>
      <w:r w:rsidRPr="00AD5357">
        <w:rPr>
          <w:rFonts w:ascii="Times New Roman" w:hAnsi="Times New Roman"/>
          <w:sz w:val="24"/>
          <w:szCs w:val="24"/>
          <w:vertAlign w:val="superscript"/>
          <w:lang w:eastAsia="pt-BR"/>
        </w:rPr>
        <w:t>1,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7,11</w:t>
      </w:r>
      <w:r>
        <w:rPr>
          <w:rFonts w:ascii="Times New Roman" w:hAnsi="Times New Roman"/>
          <w:sz w:val="24"/>
          <w:szCs w:val="24"/>
          <w:lang w:eastAsia="pt-BR"/>
        </w:rPr>
        <w:t>. Observamos na Tabela 01 a evolução rápida da tríade, com o aumento progressivo das escórias nitrogenadas, plaquetopenia e anemia.</w:t>
      </w:r>
    </w:p>
    <w:p w:rsidR="00944A9D" w:rsidRDefault="00944A9D" w:rsidP="0023052A">
      <w:pPr>
        <w:spacing w:before="100" w:beforeAutospacing="1" w:after="100" w:afterAutospacing="1" w:line="48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 A SHU pode ser dividida em duas formas baseadas na apresentação clínica: a forma típica e a forma atípica </w:t>
      </w:r>
      <w:r w:rsidRPr="00B12880">
        <w:rPr>
          <w:rFonts w:ascii="Times New Roman" w:hAnsi="Times New Roman"/>
          <w:sz w:val="24"/>
          <w:szCs w:val="24"/>
          <w:vertAlign w:val="superscript"/>
          <w:lang w:eastAsia="pt-BR"/>
        </w:rPr>
        <w:t>3,</w:t>
      </w:r>
      <w:r w:rsidRPr="00AD5357">
        <w:rPr>
          <w:rFonts w:ascii="Times New Roman" w:hAnsi="Times New Roman"/>
          <w:sz w:val="24"/>
          <w:szCs w:val="24"/>
          <w:vertAlign w:val="superscript"/>
          <w:lang w:eastAsia="pt-BR"/>
        </w:rPr>
        <w:t>7</w:t>
      </w:r>
      <w:r>
        <w:rPr>
          <w:rFonts w:ascii="Times New Roman" w:hAnsi="Times New Roman"/>
          <w:sz w:val="24"/>
          <w:szCs w:val="24"/>
          <w:lang w:eastAsia="pt-BR"/>
        </w:rPr>
        <w:t>.</w:t>
      </w:r>
    </w:p>
    <w:p w:rsidR="00944A9D" w:rsidRDefault="00944A9D" w:rsidP="0023052A">
      <w:pPr>
        <w:spacing w:before="100" w:beforeAutospacing="1" w:after="100" w:afterAutospacing="1" w:line="48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A forma típica ocorre na maioria dos casos, cerca de 80-90%, </w:t>
      </w:r>
      <w:r w:rsidRPr="00EC5AE4">
        <w:rPr>
          <w:rFonts w:ascii="Times New Roman" w:hAnsi="Times New Roman"/>
          <w:sz w:val="24"/>
          <w:szCs w:val="24"/>
          <w:lang w:eastAsia="pt-BR"/>
        </w:rPr>
        <w:t xml:space="preserve">precedida por </w:t>
      </w:r>
      <w:r>
        <w:rPr>
          <w:rFonts w:ascii="Times New Roman" w:hAnsi="Times New Roman"/>
          <w:sz w:val="24"/>
          <w:szCs w:val="24"/>
          <w:lang w:eastAsia="pt-BR"/>
        </w:rPr>
        <w:t>um</w:t>
      </w:r>
      <w:r w:rsidRPr="00EC5AE4">
        <w:rPr>
          <w:rFonts w:ascii="Times New Roman" w:hAnsi="Times New Roman"/>
          <w:sz w:val="24"/>
          <w:szCs w:val="24"/>
          <w:lang w:eastAsia="pt-BR"/>
        </w:rPr>
        <w:t>a doença diarreica</w:t>
      </w:r>
      <w:r>
        <w:rPr>
          <w:rFonts w:ascii="Times New Roman" w:hAnsi="Times New Roman"/>
          <w:sz w:val="24"/>
          <w:szCs w:val="24"/>
          <w:lang w:eastAsia="pt-BR"/>
        </w:rPr>
        <w:t xml:space="preserve">, frequentemente sanguinolenta, </w:t>
      </w:r>
      <w:r w:rsidRPr="002179A8">
        <w:rPr>
          <w:rFonts w:ascii="Times New Roman" w:hAnsi="Times New Roman"/>
          <w:sz w:val="24"/>
          <w:szCs w:val="24"/>
          <w:lang w:eastAsia="pt-BR"/>
        </w:rPr>
        <w:t xml:space="preserve">causada por infecção </w:t>
      </w:r>
      <w:r w:rsidRPr="002179A8">
        <w:rPr>
          <w:rFonts w:ascii="Times New Roman" w:hAnsi="Times New Roman"/>
          <w:i/>
          <w:sz w:val="24"/>
          <w:szCs w:val="24"/>
          <w:lang w:eastAsia="pt-BR"/>
        </w:rPr>
        <w:t>Escherichia coli</w:t>
      </w:r>
      <w:r w:rsidRPr="002179A8">
        <w:rPr>
          <w:rFonts w:ascii="Times New Roman" w:hAnsi="Times New Roman"/>
          <w:sz w:val="24"/>
          <w:szCs w:val="24"/>
          <w:lang w:eastAsia="pt-BR"/>
        </w:rPr>
        <w:t xml:space="preserve"> produtora de toxina Shiga 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3</w:t>
      </w:r>
      <w:r w:rsidRPr="00AD5357">
        <w:rPr>
          <w:rFonts w:ascii="Times New Roman" w:hAnsi="Times New Roman"/>
          <w:sz w:val="24"/>
          <w:szCs w:val="24"/>
          <w:vertAlign w:val="superscript"/>
          <w:lang w:eastAsia="pt-BR"/>
        </w:rPr>
        <w:t>,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12</w:t>
      </w:r>
      <w:r>
        <w:rPr>
          <w:rFonts w:ascii="Times New Roman" w:hAnsi="Times New Roman"/>
          <w:sz w:val="24"/>
          <w:szCs w:val="24"/>
          <w:lang w:eastAsia="pt-BR"/>
        </w:rPr>
        <w:t xml:space="preserve">. Habitualmente tem caráter esporádico, mas pode ocorrer </w:t>
      </w:r>
      <w:r w:rsidRPr="00EC5AE4">
        <w:rPr>
          <w:rFonts w:ascii="Times New Roman" w:hAnsi="Times New Roman"/>
          <w:sz w:val="24"/>
          <w:szCs w:val="24"/>
          <w:lang w:eastAsia="pt-BR"/>
        </w:rPr>
        <w:t>em epidemias</w:t>
      </w:r>
      <w:r>
        <w:rPr>
          <w:rFonts w:ascii="Times New Roman" w:hAnsi="Times New Roman"/>
          <w:sz w:val="24"/>
          <w:szCs w:val="24"/>
          <w:lang w:eastAsia="pt-BR"/>
        </w:rPr>
        <w:t>; a contaminação ocorre por transmissão fecal-oral, sendo a maioria por meio de alimentos contaminados ou pessoa-pessoa.</w:t>
      </w:r>
      <w:r w:rsidRPr="00EC5AE4">
        <w:rPr>
          <w:rFonts w:ascii="Times New Roman" w:hAnsi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/>
          <w:sz w:val="24"/>
          <w:szCs w:val="24"/>
          <w:lang w:eastAsia="pt-BR"/>
        </w:rPr>
        <w:t>T</w:t>
      </w:r>
      <w:r w:rsidRPr="00EC5AE4">
        <w:rPr>
          <w:rFonts w:ascii="Times New Roman" w:hAnsi="Times New Roman"/>
          <w:sz w:val="24"/>
          <w:szCs w:val="24"/>
          <w:lang w:eastAsia="pt-BR"/>
        </w:rPr>
        <w:t xml:space="preserve">em </w:t>
      </w:r>
      <w:r>
        <w:rPr>
          <w:rFonts w:ascii="Times New Roman" w:hAnsi="Times New Roman"/>
          <w:sz w:val="24"/>
          <w:szCs w:val="24"/>
          <w:lang w:eastAsia="pt-BR"/>
        </w:rPr>
        <w:t xml:space="preserve">normalmente </w:t>
      </w:r>
      <w:r w:rsidRPr="00EC5AE4">
        <w:rPr>
          <w:rFonts w:ascii="Times New Roman" w:hAnsi="Times New Roman"/>
          <w:sz w:val="24"/>
          <w:szCs w:val="24"/>
          <w:lang w:eastAsia="pt-BR"/>
        </w:rPr>
        <w:t>bom prognóstico</w:t>
      </w:r>
      <w:r>
        <w:rPr>
          <w:rFonts w:ascii="Times New Roman" w:hAnsi="Times New Roman"/>
          <w:sz w:val="24"/>
          <w:szCs w:val="24"/>
          <w:lang w:eastAsia="pt-BR"/>
        </w:rPr>
        <w:t xml:space="preserve"> e, na maioria, a resolução espontânea ocorre entre 1 a 3 semanas do início da doença</w:t>
      </w:r>
      <w:r w:rsidRPr="00AD5357">
        <w:rPr>
          <w:rFonts w:ascii="Times New Roman" w:hAnsi="Times New Roman"/>
          <w:sz w:val="24"/>
          <w:szCs w:val="24"/>
          <w:vertAlign w:val="superscript"/>
          <w:lang w:eastAsia="pt-BR"/>
        </w:rPr>
        <w:t>1,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10</w:t>
      </w:r>
      <w:r>
        <w:rPr>
          <w:rFonts w:ascii="Times New Roman" w:hAnsi="Times New Roman"/>
          <w:sz w:val="24"/>
          <w:szCs w:val="24"/>
          <w:lang w:eastAsia="pt-BR"/>
        </w:rPr>
        <w:t>.</w:t>
      </w:r>
    </w:p>
    <w:p w:rsidR="00944A9D" w:rsidRDefault="00944A9D" w:rsidP="0023052A">
      <w:pPr>
        <w:spacing w:before="100" w:beforeAutospacing="1" w:after="100" w:afterAutospacing="1" w:line="48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A forma atípica é mais rara, caracterizada por não estar relacionado à toxina Shiga, ocorre em cerca de 10% dos casos de SHU 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10</w:t>
      </w:r>
      <w:r>
        <w:rPr>
          <w:rFonts w:ascii="Times New Roman" w:hAnsi="Times New Roman"/>
          <w:sz w:val="24"/>
          <w:szCs w:val="24"/>
          <w:lang w:eastAsia="pt-BR"/>
        </w:rPr>
        <w:t>. Está relacionada a uma</w:t>
      </w:r>
      <w:r w:rsidRPr="00A95A0F">
        <w:rPr>
          <w:rFonts w:ascii="Times New Roman" w:hAnsi="Times New Roman"/>
          <w:sz w:val="24"/>
          <w:szCs w:val="24"/>
          <w:lang w:eastAsia="pt-BR"/>
        </w:rPr>
        <w:t xml:space="preserve"> grande variedade de gatilhos desde </w:t>
      </w:r>
      <w:r>
        <w:rPr>
          <w:rFonts w:ascii="Times New Roman" w:hAnsi="Times New Roman"/>
          <w:sz w:val="24"/>
          <w:szCs w:val="24"/>
        </w:rPr>
        <w:t xml:space="preserve">alterações genéticas, doença pneumocócica, </w:t>
      </w:r>
      <w:r w:rsidRPr="00A95A0F">
        <w:rPr>
          <w:rFonts w:ascii="Times New Roman" w:hAnsi="Times New Roman"/>
          <w:sz w:val="24"/>
          <w:szCs w:val="24"/>
          <w:lang w:eastAsia="pt-BR"/>
        </w:rPr>
        <w:t>auto-imune, HIV, transplante, irradiação e após o uso de drogas</w: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  <w:r w:rsidRPr="00AD5357">
        <w:rPr>
          <w:rFonts w:ascii="Times New Roman" w:hAnsi="Times New Roman"/>
          <w:sz w:val="24"/>
          <w:szCs w:val="24"/>
          <w:vertAlign w:val="superscript"/>
          <w:lang w:eastAsia="pt-BR"/>
        </w:rPr>
        <w:t>1,2,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8</w:t>
      </w:r>
      <w:r w:rsidRPr="00AD5357">
        <w:rPr>
          <w:rFonts w:ascii="Times New Roman" w:hAnsi="Times New Roman"/>
          <w:sz w:val="24"/>
          <w:szCs w:val="24"/>
          <w:vertAlign w:val="superscript"/>
          <w:lang w:eastAsia="pt-BR"/>
        </w:rPr>
        <w:t>,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10</w:t>
      </w:r>
      <w:r>
        <w:rPr>
          <w:rFonts w:ascii="Times New Roman" w:hAnsi="Times New Roman"/>
          <w:sz w:val="24"/>
          <w:szCs w:val="24"/>
          <w:lang w:eastAsia="pt-BR"/>
        </w:rPr>
        <w:t xml:space="preserve">. Essa apresentação tem pior prognóstico com alta taxa de mortalidade e morbidade na fase aguda da doença, e a progressão para insuficiência renal com necessidade de diálise ocorre em cerca de 50% dos casos 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7</w:t>
      </w:r>
      <w:r w:rsidRPr="00AD5357">
        <w:rPr>
          <w:rFonts w:ascii="Times New Roman" w:hAnsi="Times New Roman"/>
          <w:sz w:val="24"/>
          <w:szCs w:val="24"/>
          <w:vertAlign w:val="superscript"/>
          <w:lang w:eastAsia="pt-BR"/>
        </w:rPr>
        <w:t>,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8</w:t>
      </w:r>
      <w:r w:rsidRPr="00AD5357">
        <w:rPr>
          <w:rFonts w:ascii="Times New Roman" w:hAnsi="Times New Roman"/>
          <w:sz w:val="24"/>
          <w:szCs w:val="24"/>
          <w:vertAlign w:val="superscript"/>
          <w:lang w:eastAsia="pt-BR"/>
        </w:rPr>
        <w:t>,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10</w:t>
      </w:r>
      <w:r>
        <w:rPr>
          <w:rFonts w:ascii="Times New Roman" w:hAnsi="Times New Roman"/>
          <w:sz w:val="24"/>
          <w:szCs w:val="24"/>
          <w:lang w:eastAsia="pt-BR"/>
        </w:rPr>
        <w:t xml:space="preserve">.  </w:t>
      </w:r>
    </w:p>
    <w:p w:rsidR="00944A9D" w:rsidRDefault="00944A9D" w:rsidP="0023052A">
      <w:pPr>
        <w:spacing w:before="100" w:beforeAutospacing="1" w:after="100" w:afterAutospacing="1" w:line="48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É conhecido que cerca de 14-30% dos casos de SHU atípicos ocorrem após uma infecção por </w:t>
      </w:r>
      <w:r w:rsidRPr="00387769">
        <w:rPr>
          <w:rFonts w:ascii="Times New Roman" w:hAnsi="Times New Roman"/>
          <w:i/>
          <w:sz w:val="24"/>
          <w:szCs w:val="24"/>
          <w:lang w:eastAsia="pt-BR"/>
        </w:rPr>
        <w:t>S. pneumoniae</w:t>
      </w:r>
      <w:r>
        <w:rPr>
          <w:rFonts w:ascii="Times New Roman" w:hAnsi="Times New Roman"/>
          <w:sz w:val="24"/>
          <w:szCs w:val="24"/>
          <w:lang w:eastAsia="pt-BR"/>
        </w:rPr>
        <w:t xml:space="preserve">, e que crianças com doença </w:t>
      </w:r>
      <w:r w:rsidRPr="003A109A">
        <w:rPr>
          <w:rFonts w:ascii="Times New Roman" w:hAnsi="Times New Roman"/>
          <w:sz w:val="24"/>
          <w:szCs w:val="24"/>
          <w:lang w:eastAsia="pt-BR"/>
        </w:rPr>
        <w:t>pneumocócica as</w:t>
      </w:r>
      <w:r>
        <w:rPr>
          <w:rFonts w:ascii="Times New Roman" w:hAnsi="Times New Roman"/>
          <w:sz w:val="24"/>
          <w:szCs w:val="24"/>
          <w:lang w:eastAsia="pt-BR"/>
        </w:rPr>
        <w:t xml:space="preserve">sociada a SHU geralmente são mais jovens, mais suscetíveis a necessitar de diálise e possuem uma taxa de mortalidade mais elevada </w:t>
      </w:r>
      <w:r w:rsidRPr="00AD5357">
        <w:rPr>
          <w:rFonts w:ascii="Times New Roman" w:hAnsi="Times New Roman"/>
          <w:sz w:val="24"/>
          <w:szCs w:val="24"/>
          <w:vertAlign w:val="superscript"/>
          <w:lang w:eastAsia="pt-BR"/>
        </w:rPr>
        <w:t>10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,13</w:t>
      </w:r>
      <w:r>
        <w:rPr>
          <w:rFonts w:ascii="Times New Roman" w:hAnsi="Times New Roman"/>
          <w:sz w:val="24"/>
          <w:szCs w:val="24"/>
          <w:lang w:eastAsia="pt-BR"/>
        </w:rPr>
        <w:t xml:space="preserve">. Nestes, o quadro clínico evolui normalmente para insuficiência respiratória grave, anúria, envolvimento neurológico e coma 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10</w:t>
      </w:r>
      <w:r>
        <w:rPr>
          <w:rFonts w:ascii="Times New Roman" w:hAnsi="Times New Roman"/>
          <w:sz w:val="24"/>
          <w:szCs w:val="24"/>
          <w:lang w:eastAsia="pt-BR"/>
        </w:rPr>
        <w:t>.  A lesão celular está relacionada à circulação da enzima neuramidase, liberada pelas bactérias, que expõe o antígeno T (Thomsen-Friedenreich) em plaquetas, hemácias e células endoteliais provocando uma reação antígeno-anticorpo que culmina em dano endotelial, hemólise e agregação plaquetária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 xml:space="preserve"> 10,11,12,14</w:t>
      </w:r>
      <w:r>
        <w:rPr>
          <w:rFonts w:ascii="Times New Roman" w:hAnsi="Times New Roman"/>
          <w:sz w:val="24"/>
          <w:szCs w:val="24"/>
          <w:lang w:eastAsia="pt-BR"/>
        </w:rPr>
        <w:t xml:space="preserve">. Nestes casos, a plasmaférese é contra-indicada, pois fornece novos anticorpos contra o antígeno T (Thomsen-Friedenreich) que podem acelerar a poliaglutinação e hemólise </w:t>
      </w:r>
      <w:r w:rsidRPr="00AD5357">
        <w:rPr>
          <w:rFonts w:ascii="Times New Roman" w:hAnsi="Times New Roman"/>
          <w:sz w:val="24"/>
          <w:szCs w:val="24"/>
          <w:vertAlign w:val="superscript"/>
          <w:lang w:eastAsia="pt-BR"/>
        </w:rPr>
        <w:t>10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,13</w:t>
      </w:r>
      <w:r>
        <w:rPr>
          <w:rFonts w:ascii="Times New Roman" w:hAnsi="Times New Roman"/>
          <w:sz w:val="24"/>
          <w:szCs w:val="24"/>
          <w:lang w:eastAsia="pt-BR"/>
        </w:rPr>
        <w:t xml:space="preserve">. </w:t>
      </w:r>
    </w:p>
    <w:p w:rsidR="00944A9D" w:rsidRPr="0051080E" w:rsidRDefault="00944A9D" w:rsidP="0023052A">
      <w:pPr>
        <w:spacing w:before="100" w:beforeAutospacing="1" w:after="100" w:afterAutospacing="1" w:line="48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w:t>No caso apresentado o diagnóstico prévio de pneumonia comunitária foi bem estabelecido, sugerindo provável etiologia pneum</w:t>
      </w:r>
      <w:r w:rsidRPr="0051080E">
        <w:rPr>
          <w:rFonts w:ascii="Times New Roman" w:hAnsi="Times New Roman"/>
          <w:sz w:val="24"/>
          <w:szCs w:val="24"/>
          <w:lang w:eastAsia="pt-BR"/>
        </w:rPr>
        <w:t>ocócica, apesar da ausência</w:t>
      </w:r>
      <w:r>
        <w:rPr>
          <w:rFonts w:ascii="Times New Roman" w:hAnsi="Times New Roman"/>
          <w:sz w:val="24"/>
          <w:szCs w:val="24"/>
          <w:lang w:eastAsia="pt-BR"/>
        </w:rPr>
        <w:t xml:space="preserve"> das evidê</w:t>
      </w:r>
      <w:r w:rsidRPr="0051080E">
        <w:rPr>
          <w:rFonts w:ascii="Times New Roman" w:hAnsi="Times New Roman"/>
          <w:sz w:val="24"/>
          <w:szCs w:val="24"/>
          <w:lang w:eastAsia="pt-BR"/>
        </w:rPr>
        <w:t xml:space="preserve">ncias microbiológicas. O paciente apresentava acometimento pulmonar anterior à apresentação da tríade, sem outras comorbidades até o início do declínio clínico e </w:t>
      </w:r>
      <w:r>
        <w:rPr>
          <w:rFonts w:ascii="Times New Roman" w:hAnsi="Times New Roman"/>
          <w:sz w:val="24"/>
          <w:szCs w:val="24"/>
          <w:lang w:eastAsia="pt-BR"/>
        </w:rPr>
        <w:t>laboratorial. A evolução rápida</w:t>
      </w:r>
      <w:r w:rsidRPr="0051080E">
        <w:rPr>
          <w:rFonts w:ascii="Times New Roman" w:hAnsi="Times New Roman"/>
          <w:sz w:val="24"/>
          <w:szCs w:val="24"/>
          <w:lang w:eastAsia="pt-BR"/>
        </w:rPr>
        <w:t xml:space="preserve"> associada à provável doença pneumocócica e ao dano renal progressivo com necessidade de diálise o caracteriza como forma atípica</w: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  <w:r w:rsidRPr="00DC26B2">
        <w:rPr>
          <w:rFonts w:ascii="Times New Roman" w:hAnsi="Times New Roman"/>
          <w:sz w:val="24"/>
          <w:szCs w:val="24"/>
          <w:vertAlign w:val="superscript"/>
          <w:lang w:eastAsia="pt-BR"/>
        </w:rPr>
        <w:t>10,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11,12,</w:t>
      </w:r>
      <w:r w:rsidRPr="00DC26B2">
        <w:rPr>
          <w:rFonts w:ascii="Times New Roman" w:hAnsi="Times New Roman"/>
          <w:sz w:val="24"/>
          <w:szCs w:val="24"/>
          <w:vertAlign w:val="superscript"/>
          <w:lang w:eastAsia="pt-BR"/>
        </w:rPr>
        <w:t>13</w:t>
      </w:r>
      <w:r w:rsidRPr="00DC26B2">
        <w:rPr>
          <w:rFonts w:ascii="Times New Roman" w:hAnsi="Times New Roman"/>
          <w:sz w:val="24"/>
          <w:szCs w:val="24"/>
          <w:lang w:eastAsia="pt-BR"/>
        </w:rPr>
        <w:t>.</w:t>
      </w:r>
      <w:r w:rsidRPr="0051080E"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 w:rsidR="00944A9D" w:rsidRPr="0051080E" w:rsidRDefault="00944A9D" w:rsidP="001C38F4">
      <w:pPr>
        <w:spacing w:before="100" w:beforeAutospacing="1" w:after="100" w:afterAutospacing="1" w:line="480" w:lineRule="auto"/>
        <w:jc w:val="both"/>
        <w:rPr>
          <w:rFonts w:ascii="Arial" w:hAnsi="Arial" w:cs="Arial"/>
          <w:lang w:val="pt-PT"/>
        </w:rPr>
      </w:pPr>
      <w:r w:rsidRPr="0051080E">
        <w:rPr>
          <w:rFonts w:ascii="Times New Roman" w:hAnsi="Times New Roman"/>
          <w:sz w:val="24"/>
          <w:szCs w:val="24"/>
          <w:lang w:eastAsia="pt-BR"/>
        </w:rPr>
        <w:t>Estudos de coorte em pacientes pediátricos franceses e em pacientes adultos e pediátricos</w:t>
      </w:r>
      <w:r>
        <w:rPr>
          <w:rFonts w:ascii="Times New Roman" w:hAnsi="Times New Roman"/>
          <w:sz w:val="24"/>
          <w:szCs w:val="24"/>
          <w:lang w:eastAsia="pt-BR"/>
        </w:rPr>
        <w:t xml:space="preserve"> italianos</w:t>
      </w:r>
      <w:r w:rsidRPr="0051080E">
        <w:rPr>
          <w:rFonts w:ascii="Times New Roman" w:hAnsi="Times New Roman"/>
          <w:sz w:val="24"/>
          <w:szCs w:val="24"/>
          <w:lang w:eastAsia="pt-BR"/>
        </w:rPr>
        <w:t xml:space="preserve"> evidenciam a ocorrência de SHU atípica precedida</w:t>
      </w:r>
      <w:r>
        <w:rPr>
          <w:rFonts w:ascii="Times New Roman" w:hAnsi="Times New Roman"/>
          <w:sz w:val="24"/>
          <w:szCs w:val="24"/>
          <w:lang w:eastAsia="pt-BR"/>
        </w:rPr>
        <w:t xml:space="preserve"> por diarré</w:t>
      </w:r>
      <w:r w:rsidRPr="0051080E">
        <w:rPr>
          <w:rFonts w:ascii="Times New Roman" w:hAnsi="Times New Roman"/>
          <w:sz w:val="24"/>
          <w:szCs w:val="24"/>
          <w:lang w:eastAsia="pt-BR"/>
        </w:rPr>
        <w:t>ia em 23% e 28% dos casos, respectivamente. P</w:t>
      </w:r>
      <w:r>
        <w:rPr>
          <w:rFonts w:ascii="Times New Roman" w:hAnsi="Times New Roman"/>
          <w:sz w:val="24"/>
          <w:szCs w:val="24"/>
          <w:lang w:eastAsia="pt-BR"/>
        </w:rPr>
        <w:t>ortanto, o episódio de diarré</w:t>
      </w:r>
      <w:r w:rsidRPr="0051080E">
        <w:rPr>
          <w:rFonts w:ascii="Times New Roman" w:hAnsi="Times New Roman"/>
          <w:sz w:val="24"/>
          <w:szCs w:val="24"/>
          <w:lang w:eastAsia="pt-BR"/>
        </w:rPr>
        <w:t>ia sanguinolenta não elimina a HD de SHU atípica. Cabe ressaltar que episódio</w:t>
      </w:r>
      <w:r>
        <w:rPr>
          <w:rFonts w:ascii="Times New Roman" w:hAnsi="Times New Roman"/>
          <w:sz w:val="24"/>
          <w:szCs w:val="24"/>
          <w:lang w:eastAsia="pt-BR"/>
        </w:rPr>
        <w:t xml:space="preserve"> único de diarré</w:t>
      </w:r>
      <w:r w:rsidRPr="0051080E">
        <w:rPr>
          <w:rFonts w:ascii="Times New Roman" w:hAnsi="Times New Roman"/>
          <w:sz w:val="24"/>
          <w:szCs w:val="24"/>
          <w:lang w:eastAsia="pt-BR"/>
        </w:rPr>
        <w:t>ia sanguinolenta</w:t>
      </w:r>
      <w:r>
        <w:rPr>
          <w:rFonts w:ascii="Times New Roman" w:hAnsi="Times New Roman"/>
          <w:sz w:val="24"/>
          <w:szCs w:val="24"/>
          <w:lang w:eastAsia="pt-BR"/>
        </w:rPr>
        <w:t xml:space="preserve"> foi relatado</w:t>
      </w:r>
      <w:r w:rsidRPr="0051080E">
        <w:rPr>
          <w:rFonts w:ascii="Times New Roman" w:hAnsi="Times New Roman"/>
          <w:sz w:val="24"/>
          <w:szCs w:val="24"/>
          <w:lang w:eastAsia="pt-BR"/>
        </w:rPr>
        <w:t xml:space="preserve"> quando o paciente já apresentava discrasia sanguínea, n</w:t>
      </w:r>
      <w:r>
        <w:rPr>
          <w:rFonts w:ascii="Times New Roman" w:hAnsi="Times New Roman"/>
          <w:sz w:val="24"/>
          <w:szCs w:val="24"/>
          <w:lang w:eastAsia="pt-BR"/>
        </w:rPr>
        <w:t>ão tendo sido configurado diarré</w:t>
      </w:r>
      <w:r w:rsidRPr="0051080E">
        <w:rPr>
          <w:rFonts w:ascii="Times New Roman" w:hAnsi="Times New Roman"/>
          <w:sz w:val="24"/>
          <w:szCs w:val="24"/>
          <w:lang w:eastAsia="pt-BR"/>
        </w:rPr>
        <w:t>ia anterior à descompensação</w: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  <w:r w:rsidRPr="00DC26B2">
        <w:rPr>
          <w:rFonts w:ascii="Times New Roman" w:hAnsi="Times New Roman"/>
          <w:sz w:val="24"/>
          <w:szCs w:val="24"/>
          <w:vertAlign w:val="superscript"/>
          <w:lang w:eastAsia="pt-BR"/>
        </w:rPr>
        <w:t>2</w:t>
      </w:r>
      <w:r w:rsidRPr="0051080E">
        <w:rPr>
          <w:rFonts w:ascii="Times New Roman" w:hAnsi="Times New Roman"/>
          <w:sz w:val="24"/>
          <w:szCs w:val="24"/>
          <w:lang w:eastAsia="pt-BR"/>
        </w:rPr>
        <w:t>.</w:t>
      </w:r>
    </w:p>
    <w:p w:rsidR="00944A9D" w:rsidRPr="0051080E" w:rsidRDefault="00944A9D" w:rsidP="0023052A">
      <w:pPr>
        <w:spacing w:before="100" w:beforeAutospacing="1" w:after="100" w:afterAutospacing="1" w:line="48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 w:rsidRPr="0051080E">
        <w:rPr>
          <w:rFonts w:ascii="Times New Roman" w:hAnsi="Times New Roman"/>
          <w:sz w:val="24"/>
          <w:szCs w:val="24"/>
          <w:lang w:eastAsia="pt-BR"/>
        </w:rPr>
        <w:t xml:space="preserve">A alteração genética na forma atípica é vista em </w:t>
      </w:r>
      <w:r>
        <w:rPr>
          <w:rFonts w:ascii="Times New Roman" w:hAnsi="Times New Roman"/>
          <w:sz w:val="24"/>
          <w:szCs w:val="24"/>
          <w:lang w:eastAsia="pt-BR"/>
        </w:rPr>
        <w:t xml:space="preserve">mais de 50% dos casos na forma herdada ou adquirida 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3</w:t>
      </w:r>
      <w:r>
        <w:rPr>
          <w:rFonts w:ascii="Times New Roman" w:hAnsi="Times New Roman"/>
          <w:sz w:val="24"/>
          <w:szCs w:val="24"/>
          <w:lang w:eastAsia="pt-BR"/>
        </w:rPr>
        <w:t xml:space="preserve">. Estudos recentes definem como a principal forma conhecida, a deficiência de proteínas reguladoras do sistema complemento, entre eles o fator H, o fator I e o Cd46. Estas mutações resultam em desregulação do sistema complemento, que conduz à excessiva ativação do complemento e resulta em dano endotelial </w:t>
      </w:r>
      <w:r w:rsidRPr="00AD5357">
        <w:rPr>
          <w:rFonts w:ascii="Times New Roman" w:hAnsi="Times New Roman"/>
          <w:sz w:val="24"/>
          <w:szCs w:val="24"/>
          <w:vertAlign w:val="superscript"/>
          <w:lang w:eastAsia="pt-BR"/>
        </w:rPr>
        <w:t>3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,8,11,12</w:t>
      </w:r>
      <w:r>
        <w:rPr>
          <w:rFonts w:ascii="Times New Roman" w:hAnsi="Times New Roman"/>
          <w:sz w:val="24"/>
          <w:szCs w:val="24"/>
          <w:lang w:eastAsia="pt-BR"/>
        </w:rPr>
        <w:t>. Pacientes com mutação genética podem desenvolver SHU em qualquer idade e está mais relacionado a um pior prognóstico, com recorrência da doença,</w:t>
      </w:r>
      <w:r w:rsidRPr="002D39CC">
        <w:rPr>
          <w:rFonts w:ascii="Times New Roman" w:hAnsi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/>
          <w:sz w:val="24"/>
          <w:szCs w:val="24"/>
          <w:lang w:eastAsia="pt-BR"/>
        </w:rPr>
        <w:t xml:space="preserve">progressão para IRC e falha após transplante renal 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3,4,8,11</w:t>
      </w:r>
      <w:r>
        <w:rPr>
          <w:rFonts w:ascii="Times New Roman" w:hAnsi="Times New Roman"/>
          <w:sz w:val="24"/>
          <w:szCs w:val="24"/>
          <w:lang w:eastAsia="pt-BR"/>
        </w:rPr>
        <w:t xml:space="preserve">. Anormalidades que alteram os componentes da regulação do sistema complemento tem etiologia mais comum em SHU atípica não relacionada à infecção por </w:t>
      </w:r>
      <w:r w:rsidRPr="00387769">
        <w:rPr>
          <w:rFonts w:ascii="Times New Roman" w:hAnsi="Times New Roman"/>
          <w:i/>
          <w:sz w:val="24"/>
          <w:szCs w:val="24"/>
          <w:lang w:eastAsia="pt-BR"/>
        </w:rPr>
        <w:t>Streptococcus pneumoniae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 xml:space="preserve"> 10</w:t>
      </w:r>
      <w:r>
        <w:rPr>
          <w:rFonts w:ascii="Times New Roman" w:hAnsi="Times New Roman"/>
          <w:sz w:val="24"/>
          <w:szCs w:val="24"/>
          <w:lang w:eastAsia="pt-BR"/>
        </w:rPr>
        <w:t xml:space="preserve">. A criança descrita no caso clínico não apresentava alterações no C3 ou C4, não tendo sido realizado a pesquisa dos demais marcadores. Além disso, quando há envolvimento de </w:t>
      </w:r>
      <w:r w:rsidRPr="00387769">
        <w:rPr>
          <w:rFonts w:ascii="Times New Roman" w:hAnsi="Times New Roman"/>
          <w:i/>
          <w:sz w:val="24"/>
          <w:szCs w:val="24"/>
          <w:lang w:eastAsia="pt-BR"/>
        </w:rPr>
        <w:t>S.</w:t>
      </w:r>
      <w:r>
        <w:rPr>
          <w:rFonts w:ascii="Times New Roman" w:hAnsi="Times New Roman"/>
          <w:i/>
          <w:sz w:val="24"/>
          <w:szCs w:val="24"/>
          <w:lang w:eastAsia="pt-BR"/>
        </w:rPr>
        <w:t xml:space="preserve"> </w:t>
      </w:r>
      <w:r w:rsidRPr="00387769">
        <w:rPr>
          <w:rFonts w:ascii="Times New Roman" w:hAnsi="Times New Roman"/>
          <w:i/>
          <w:sz w:val="24"/>
          <w:szCs w:val="24"/>
          <w:lang w:eastAsia="pt-BR"/>
        </w:rPr>
        <w:t>pneumoniae</w:t>
      </w:r>
      <w:r>
        <w:rPr>
          <w:rFonts w:ascii="Times New Roman" w:hAnsi="Times New Roman"/>
          <w:sz w:val="24"/>
          <w:szCs w:val="24"/>
          <w:lang w:eastAsia="pt-BR"/>
        </w:rPr>
        <w:t xml:space="preserve"> na SHU atípica, não é comum alteração no sistema complemento, como descrito anteriormente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10</w:t>
      </w:r>
      <w:r>
        <w:rPr>
          <w:rFonts w:ascii="Times New Roman" w:hAnsi="Times New Roman"/>
          <w:sz w:val="24"/>
          <w:szCs w:val="24"/>
          <w:lang w:eastAsia="pt-BR"/>
        </w:rPr>
        <w:t>.</w:t>
      </w:r>
    </w:p>
    <w:p w:rsidR="00944A9D" w:rsidRDefault="00944A9D" w:rsidP="0023052A">
      <w:pPr>
        <w:spacing w:before="100" w:beforeAutospacing="1" w:after="100" w:afterAutospacing="1" w:line="48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 w:rsidRPr="0051080E">
        <w:rPr>
          <w:rFonts w:ascii="Times New Roman" w:hAnsi="Times New Roman"/>
          <w:sz w:val="24"/>
          <w:szCs w:val="24"/>
          <w:lang w:eastAsia="pt-BR"/>
        </w:rPr>
        <w:t xml:space="preserve">O tratamento em SHU deve ser iniciado com urgência, de preferência nas primeiras 24h após o diagnóstico. Não há tratamento específico para SHU e a terapia de suporte é decisiva na evolução da doença por meio de aporte hídrico, correção dos distúrbios hidroeletrolíticos, hematológicos e trombocitopênicos e início precoce de diálise, quando indicado </w:t>
      </w:r>
      <w:r w:rsidRPr="006A3343">
        <w:rPr>
          <w:rFonts w:ascii="Times New Roman" w:hAnsi="Times New Roman"/>
          <w:sz w:val="24"/>
          <w:szCs w:val="24"/>
          <w:vertAlign w:val="superscript"/>
          <w:lang w:eastAsia="pt-BR"/>
        </w:rPr>
        <w:t>5,6,8,15</w:t>
      </w:r>
      <w:r w:rsidRPr="0051080E">
        <w:rPr>
          <w:rFonts w:ascii="Times New Roman" w:hAnsi="Times New Roman"/>
          <w:sz w:val="24"/>
          <w:szCs w:val="24"/>
          <w:lang w:eastAsia="pt-BR"/>
        </w:rPr>
        <w:t>. Na fase inicial da SHU atípica não há tempo hábil para ensaios e estudos genéticos para especificar a causa subjacente, e em 40% dos casos nenhuma anomalia</w:t>
      </w:r>
      <w:r>
        <w:rPr>
          <w:rFonts w:ascii="Times New Roman" w:hAnsi="Times New Roman"/>
          <w:sz w:val="24"/>
          <w:szCs w:val="24"/>
          <w:lang w:eastAsia="pt-BR"/>
        </w:rPr>
        <w:t xml:space="preserve"> pode ser encontrada nessa fase</w:t>
      </w:r>
      <w:r w:rsidRPr="0051080E">
        <w:rPr>
          <w:rFonts w:ascii="Times New Roman" w:hAnsi="Times New Roman"/>
          <w:sz w:val="24"/>
          <w:szCs w:val="24"/>
          <w:lang w:eastAsia="pt-BR"/>
        </w:rPr>
        <w:t>. A plasmaférese, que substitui a falta ou deficiência de proteínas e remove anticorpos da doença, constitui etapa importante no tratamento de SHU atípica, porém em doença desencadeada por pneumococo é contraindicada, pois fornece novos anticorpos contra o antígeno T (Thomsen-Friedenreich) que podem acel</w:t>
      </w:r>
      <w:r>
        <w:rPr>
          <w:rFonts w:ascii="Times New Roman" w:hAnsi="Times New Roman"/>
          <w:sz w:val="24"/>
          <w:szCs w:val="24"/>
          <w:lang w:eastAsia="pt-BR"/>
        </w:rPr>
        <w:t xml:space="preserve">erar a poliaglutinação e hemólise 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6,8,10,14</w:t>
      </w:r>
      <w:r>
        <w:rPr>
          <w:rFonts w:ascii="Times New Roman" w:hAnsi="Times New Roman"/>
          <w:sz w:val="24"/>
          <w:szCs w:val="24"/>
          <w:lang w:eastAsia="pt-BR"/>
        </w:rPr>
        <w:t xml:space="preserve">. No caso descrito, o tratamento por meio de antibioticoterapia, o tratamento de suporte com correção dos distúrbios hidroeletrolíticos, hematológicos, trombocitopenicos e a diálise precoce foram essenciais para minimizar o risco de sequela renal e melhorar o prognóstico da comorbidade. No caso exposto, a plasmaférese não estava indicada diante do provável agente desencadeante pelos motivos já mencionados </w:t>
      </w:r>
      <w:r w:rsidRPr="00DC26B2">
        <w:rPr>
          <w:rFonts w:ascii="Times New Roman" w:hAnsi="Times New Roman"/>
          <w:sz w:val="24"/>
          <w:szCs w:val="24"/>
          <w:vertAlign w:val="superscript"/>
          <w:lang w:eastAsia="pt-BR"/>
        </w:rPr>
        <w:t>10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,13</w:t>
      </w:r>
      <w:r>
        <w:rPr>
          <w:rFonts w:ascii="Times New Roman" w:hAnsi="Times New Roman"/>
          <w:sz w:val="24"/>
          <w:szCs w:val="24"/>
          <w:lang w:eastAsia="pt-BR"/>
        </w:rPr>
        <w:t>.</w:t>
      </w:r>
    </w:p>
    <w:p w:rsidR="00944A9D" w:rsidRDefault="00944A9D" w:rsidP="0023052A">
      <w:pPr>
        <w:spacing w:before="100" w:beforeAutospacing="1" w:after="100" w:afterAutospacing="1" w:line="48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Novas opções de tratamento são os inibidores de complemento como o eculizumab. Este é um anticorpo monoclonal recombinante que impede a clivagem de C5 em C5b, impedindo a geração do peptídeo pró-inflamatório C5b e do complexo citotóxico de ataque à membrana C5b-9, sendo essas etapas essenciais para o desenvolvimento de SHU atípica decorrente da desregulação do sistema complemento </w:t>
      </w:r>
      <w:r w:rsidRPr="00AD5357">
        <w:rPr>
          <w:rFonts w:ascii="Times New Roman" w:hAnsi="Times New Roman"/>
          <w:sz w:val="24"/>
          <w:szCs w:val="24"/>
          <w:vertAlign w:val="superscript"/>
          <w:lang w:eastAsia="pt-BR"/>
        </w:rPr>
        <w:t>2,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5,8,11</w:t>
      </w:r>
      <w:r>
        <w:rPr>
          <w:rFonts w:ascii="Times New Roman" w:hAnsi="Times New Roman"/>
          <w:sz w:val="24"/>
          <w:szCs w:val="24"/>
          <w:lang w:eastAsia="pt-BR"/>
        </w:rPr>
        <w:t>. No paciente em questão não havia alterações no sistema complemento que justificassem o uso.</w:t>
      </w:r>
    </w:p>
    <w:p w:rsidR="00944A9D" w:rsidRPr="0051080E" w:rsidRDefault="00944A9D" w:rsidP="0023052A">
      <w:pPr>
        <w:spacing w:before="100" w:beforeAutospacing="1" w:after="100" w:afterAutospacing="1" w:line="48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w:t>De fato, o menor e</w:t>
      </w:r>
      <w:r w:rsidRPr="0051080E">
        <w:rPr>
          <w:rFonts w:ascii="Times New Roman" w:hAnsi="Times New Roman"/>
          <w:sz w:val="24"/>
          <w:szCs w:val="24"/>
          <w:lang w:eastAsia="pt-BR"/>
        </w:rPr>
        <w:t xml:space="preserve">voluiu bem após a diálise e até o momento segue assintomático e com função renal inalterada, </w:t>
      </w:r>
      <w:r>
        <w:rPr>
          <w:rFonts w:ascii="Times New Roman" w:hAnsi="Times New Roman"/>
          <w:sz w:val="24"/>
          <w:szCs w:val="24"/>
          <w:lang w:eastAsia="pt-BR"/>
        </w:rPr>
        <w:t>compatível com</w:t>
      </w:r>
      <w:r w:rsidRPr="0051080E">
        <w:rPr>
          <w:rFonts w:ascii="Times New Roman" w:hAnsi="Times New Roman"/>
          <w:sz w:val="24"/>
          <w:szCs w:val="24"/>
          <w:lang w:eastAsia="pt-BR"/>
        </w:rPr>
        <w:t xml:space="preserve"> caso de SHU atípica sem alteração genética com prognósticos semelhantes aos quadros típicos </w:t>
      </w:r>
      <w:r>
        <w:rPr>
          <w:rFonts w:ascii="Times New Roman" w:hAnsi="Times New Roman"/>
          <w:sz w:val="24"/>
          <w:szCs w:val="24"/>
          <w:vertAlign w:val="superscript"/>
          <w:lang w:eastAsia="pt-BR"/>
        </w:rPr>
        <w:t>1,8,9,10</w:t>
      </w:r>
      <w:r w:rsidRPr="0051080E">
        <w:rPr>
          <w:rFonts w:ascii="Times New Roman" w:hAnsi="Times New Roman"/>
          <w:sz w:val="24"/>
          <w:szCs w:val="24"/>
          <w:lang w:eastAsia="pt-BR"/>
        </w:rPr>
        <w:t>.</w:t>
      </w:r>
    </w:p>
    <w:p w:rsidR="00944A9D" w:rsidRPr="0051080E" w:rsidRDefault="00944A9D" w:rsidP="0023052A">
      <w:pPr>
        <w:spacing w:before="100" w:beforeAutospacing="1" w:after="100" w:afterAutospacing="1" w:line="48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 w:rsidRPr="0051080E">
        <w:rPr>
          <w:rFonts w:ascii="Times New Roman" w:hAnsi="Times New Roman"/>
          <w:sz w:val="24"/>
          <w:szCs w:val="24"/>
          <w:lang w:eastAsia="pt-BR"/>
        </w:rPr>
        <w:t xml:space="preserve">Apresentamos este caso clínico a fim de ressaltar a importância do diagnóstico precoce e manejo adequado dessa enfermidade. </w:t>
      </w:r>
      <w:r>
        <w:rPr>
          <w:rFonts w:ascii="Times New Roman" w:hAnsi="Times New Roman"/>
          <w:sz w:val="24"/>
          <w:szCs w:val="24"/>
          <w:lang w:eastAsia="pt-BR"/>
        </w:rPr>
        <w:t xml:space="preserve"> Ressalta-se ainda</w:t>
      </w:r>
      <w:r w:rsidRPr="0051080E">
        <w:rPr>
          <w:rFonts w:ascii="Times New Roman" w:hAnsi="Times New Roman"/>
          <w:sz w:val="24"/>
          <w:szCs w:val="24"/>
          <w:lang w:eastAsia="pt-BR"/>
        </w:rPr>
        <w:t xml:space="preserve"> o desfecho favorável diante do uso de terapia </w:t>
      </w:r>
      <w:r>
        <w:rPr>
          <w:rFonts w:ascii="Times New Roman" w:hAnsi="Times New Roman"/>
          <w:sz w:val="24"/>
          <w:szCs w:val="24"/>
          <w:lang w:eastAsia="pt-BR"/>
        </w:rPr>
        <w:t>de</w:t>
      </w:r>
      <w:r w:rsidRPr="0051080E">
        <w:rPr>
          <w:rFonts w:ascii="Times New Roman" w:hAnsi="Times New Roman"/>
          <w:sz w:val="24"/>
          <w:szCs w:val="24"/>
          <w:lang w:eastAsia="pt-BR"/>
        </w:rPr>
        <w:t xml:space="preserve"> suporte agressiva e eficaz, resultando na redução de possíveis sequelas.</w:t>
      </w:r>
    </w:p>
    <w:p w:rsidR="00944A9D" w:rsidRDefault="00944A9D" w:rsidP="0023052A">
      <w:pPr>
        <w:spacing w:before="100" w:beforeAutospacing="1" w:after="100" w:afterAutospacing="1" w:line="480" w:lineRule="auto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944A9D" w:rsidRDefault="00944A9D" w:rsidP="0023052A">
      <w:pPr>
        <w:spacing w:before="100" w:beforeAutospacing="1" w:after="100" w:afterAutospacing="1" w:line="480" w:lineRule="auto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944A9D" w:rsidRPr="00B275D0" w:rsidRDefault="00944A9D" w:rsidP="0023052A">
      <w:pPr>
        <w:spacing w:before="100" w:beforeAutospacing="1" w:after="100" w:afterAutospacing="1" w:line="480" w:lineRule="auto"/>
        <w:jc w:val="both"/>
        <w:rPr>
          <w:rFonts w:ascii="Times New Roman" w:hAnsi="Times New Roman"/>
          <w:b/>
          <w:sz w:val="24"/>
          <w:szCs w:val="24"/>
          <w:lang w:eastAsia="pt-BR"/>
        </w:rPr>
      </w:pPr>
      <w:r w:rsidRPr="00B275D0">
        <w:rPr>
          <w:rFonts w:ascii="Times New Roman" w:hAnsi="Times New Roman"/>
          <w:b/>
          <w:sz w:val="24"/>
          <w:szCs w:val="24"/>
          <w:lang w:eastAsia="pt-BR"/>
        </w:rPr>
        <w:t>Tabela 01:</w:t>
      </w:r>
    </w:p>
    <w:p w:rsidR="00944A9D" w:rsidRDefault="00944A9D" w:rsidP="0023052A">
      <w:pPr>
        <w:spacing w:before="100" w:beforeAutospacing="1" w:after="100" w:afterAutospacing="1" w:line="480" w:lineRule="auto"/>
        <w:jc w:val="both"/>
        <w:rPr>
          <w:rFonts w:ascii="Times New Roman" w:hAnsi="Times New Roman"/>
          <w:sz w:val="24"/>
          <w:szCs w:val="24"/>
          <w:lang w:eastAsia="pt-BR"/>
        </w:rPr>
      </w:pPr>
    </w:p>
    <w:tbl>
      <w:tblPr>
        <w:tblpPr w:leftFromText="141" w:rightFromText="141" w:vertAnchor="text" w:horzAnchor="margin" w:tblpXSpec="center" w:tblpY="-560"/>
        <w:tblW w:w="9993" w:type="dxa"/>
        <w:tblCellMar>
          <w:left w:w="70" w:type="dxa"/>
          <w:right w:w="70" w:type="dxa"/>
        </w:tblCellMar>
        <w:tblLook w:val="00A0"/>
      </w:tblPr>
      <w:tblGrid>
        <w:gridCol w:w="1337"/>
        <w:gridCol w:w="983"/>
        <w:gridCol w:w="160"/>
        <w:gridCol w:w="1052"/>
        <w:gridCol w:w="1175"/>
        <w:gridCol w:w="1045"/>
        <w:gridCol w:w="1174"/>
        <w:gridCol w:w="920"/>
        <w:gridCol w:w="777"/>
        <w:gridCol w:w="1370"/>
      </w:tblGrid>
      <w:tr w:rsidR="00944A9D" w:rsidRPr="007D75F5" w:rsidTr="00CB5AFD">
        <w:trPr>
          <w:trHeight w:val="530"/>
        </w:trPr>
        <w:tc>
          <w:tcPr>
            <w:tcW w:w="1337" w:type="dxa"/>
            <w:tcBorders>
              <w:top w:val="single" w:sz="4" w:space="0" w:color="7A7A7A"/>
              <w:left w:val="nil"/>
              <w:bottom w:val="single" w:sz="4" w:space="0" w:color="7A7A7A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  <w:t>EXAMES:</w:t>
            </w:r>
          </w:p>
        </w:tc>
        <w:tc>
          <w:tcPr>
            <w:tcW w:w="1143" w:type="dxa"/>
            <w:gridSpan w:val="2"/>
            <w:tcBorders>
              <w:top w:val="single" w:sz="4" w:space="0" w:color="7A7A7A"/>
              <w:left w:val="nil"/>
              <w:bottom w:val="single" w:sz="4" w:space="0" w:color="7A7A7A"/>
              <w:right w:val="nil"/>
            </w:tcBorders>
            <w:vAlign w:val="bottom"/>
          </w:tcPr>
          <w:p w:rsidR="00944A9D" w:rsidRPr="00081129" w:rsidRDefault="00944A9D" w:rsidP="00A23067">
            <w:pPr>
              <w:spacing w:after="0" w:line="240" w:lineRule="auto"/>
              <w:ind w:left="-131"/>
              <w:jc w:val="center"/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  <w:t>Valor de referência</w:t>
            </w:r>
          </w:p>
        </w:tc>
        <w:tc>
          <w:tcPr>
            <w:tcW w:w="1052" w:type="dxa"/>
            <w:tcBorders>
              <w:top w:val="single" w:sz="4" w:space="0" w:color="7A7A7A"/>
              <w:left w:val="nil"/>
              <w:bottom w:val="single" w:sz="4" w:space="0" w:color="7A7A7A"/>
              <w:right w:val="nil"/>
            </w:tcBorders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  <w:t>9/5/13</w:t>
            </w:r>
          </w:p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  <w:t>3°DIH</w:t>
            </w:r>
          </w:p>
        </w:tc>
        <w:tc>
          <w:tcPr>
            <w:tcW w:w="1175" w:type="dxa"/>
            <w:tcBorders>
              <w:top w:val="single" w:sz="4" w:space="0" w:color="7A7A7A"/>
              <w:left w:val="nil"/>
              <w:bottom w:val="single" w:sz="4" w:space="0" w:color="7A7A7A"/>
              <w:right w:val="nil"/>
            </w:tcBorders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  <w:t>10/5/13</w:t>
            </w:r>
          </w:p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  <w:t>4°DIH *</w:t>
            </w:r>
          </w:p>
        </w:tc>
        <w:tc>
          <w:tcPr>
            <w:tcW w:w="1045" w:type="dxa"/>
            <w:tcBorders>
              <w:top w:val="single" w:sz="4" w:space="0" w:color="7A7A7A"/>
              <w:left w:val="nil"/>
              <w:bottom w:val="single" w:sz="4" w:space="0" w:color="7A7A7A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  <w:t>11/05/13</w:t>
            </w:r>
          </w:p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  <w:t>5°DIH **</w:t>
            </w:r>
          </w:p>
        </w:tc>
        <w:tc>
          <w:tcPr>
            <w:tcW w:w="1174" w:type="dxa"/>
            <w:tcBorders>
              <w:top w:val="single" w:sz="4" w:space="0" w:color="7A7A7A"/>
              <w:left w:val="nil"/>
              <w:bottom w:val="single" w:sz="4" w:space="0" w:color="7A7A7A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  <w:t>19/5/13</w:t>
            </w:r>
          </w:p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  <w:t>13°DIH***</w:t>
            </w:r>
          </w:p>
        </w:tc>
        <w:tc>
          <w:tcPr>
            <w:tcW w:w="920" w:type="dxa"/>
            <w:tcBorders>
              <w:top w:val="single" w:sz="4" w:space="0" w:color="7A7A7A"/>
              <w:left w:val="nil"/>
              <w:bottom w:val="single" w:sz="4" w:space="0" w:color="7A7A7A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  <w:t>22/05/13</w:t>
            </w:r>
          </w:p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  <w:t>16°DIH</w:t>
            </w:r>
          </w:p>
        </w:tc>
        <w:tc>
          <w:tcPr>
            <w:tcW w:w="777" w:type="dxa"/>
            <w:tcBorders>
              <w:top w:val="single" w:sz="4" w:space="0" w:color="7A7A7A"/>
              <w:left w:val="nil"/>
              <w:bottom w:val="single" w:sz="4" w:space="0" w:color="7A7A7A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  <w:t>3/6/13</w:t>
            </w:r>
          </w:p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  <w:t xml:space="preserve">27°DIH </w:t>
            </w:r>
            <w:r w:rsidRPr="00081129"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  <w:t>●</w:t>
            </w:r>
          </w:p>
        </w:tc>
        <w:tc>
          <w:tcPr>
            <w:tcW w:w="1370" w:type="dxa"/>
            <w:tcBorders>
              <w:top w:val="single" w:sz="4" w:space="0" w:color="7A7A7A"/>
              <w:left w:val="nil"/>
              <w:bottom w:val="single" w:sz="4" w:space="0" w:color="7A7A7A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</w:pPr>
            <w:r w:rsidRPr="00416FCB"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  <w:t>09/08/2013</w:t>
            </w:r>
          </w:p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b/>
                <w:bCs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ascii="Arial" w:hAnsi="Arial" w:cs="Arial"/>
                <w:b/>
                <w:bCs/>
                <w:color w:val="5B5B5B"/>
                <w:sz w:val="16"/>
                <w:szCs w:val="16"/>
                <w:lang w:eastAsia="pt-BR"/>
              </w:rPr>
              <w:t>●●</w:t>
            </w:r>
          </w:p>
        </w:tc>
      </w:tr>
      <w:tr w:rsidR="00944A9D" w:rsidRPr="007D75F5" w:rsidTr="00CB5AFD">
        <w:trPr>
          <w:trHeight w:val="265"/>
        </w:trPr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CREATININA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0,8-1,3 mg/dL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3,1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3,4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4,5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1,2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0,4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0,3</w:t>
            </w:r>
          </w:p>
        </w:tc>
      </w:tr>
      <w:tr w:rsidR="00944A9D" w:rsidRPr="007D75F5" w:rsidTr="00CB5AFD">
        <w:trPr>
          <w:trHeight w:val="265"/>
        </w:trPr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POTÁSSIO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3,6-5,0mEq/L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5,9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4,9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4,2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4,4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5,36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4,2</w:t>
            </w:r>
          </w:p>
        </w:tc>
      </w:tr>
      <w:tr w:rsidR="00944A9D" w:rsidRPr="007D75F5" w:rsidTr="00CB5AFD">
        <w:trPr>
          <w:trHeight w:val="265"/>
        </w:trPr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SÓDIO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135-145 mEq/L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114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126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132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>138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139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137</w:t>
            </w:r>
          </w:p>
        </w:tc>
      </w:tr>
      <w:tr w:rsidR="00944A9D" w:rsidRPr="007D75F5" w:rsidTr="00CB5AFD">
        <w:trPr>
          <w:trHeight w:val="265"/>
        </w:trPr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TGO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15-37 U/L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565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391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57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 --</w:t>
            </w:r>
          </w:p>
        </w:tc>
      </w:tr>
      <w:tr w:rsidR="00944A9D" w:rsidRPr="007D75F5" w:rsidTr="00CB5AFD">
        <w:trPr>
          <w:trHeight w:val="265"/>
        </w:trPr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TGP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30-65 U/L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103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81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19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 --</w:t>
            </w:r>
          </w:p>
        </w:tc>
      </w:tr>
      <w:tr w:rsidR="00944A9D" w:rsidRPr="007D75F5" w:rsidTr="00CB5AFD">
        <w:trPr>
          <w:trHeight w:val="265"/>
        </w:trPr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URÉIA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15-40 mg/dL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217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231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264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145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>35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36</w:t>
            </w:r>
          </w:p>
        </w:tc>
      </w:tr>
      <w:tr w:rsidR="00944A9D" w:rsidRPr="007D75F5" w:rsidTr="00CB5AFD">
        <w:trPr>
          <w:trHeight w:val="265"/>
        </w:trPr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HEMOGLOBINA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11,5-13,5 g/dL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5,9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6,2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4,5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8,8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9,9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12,4</w:t>
            </w:r>
          </w:p>
        </w:tc>
      </w:tr>
      <w:tr w:rsidR="00944A9D" w:rsidRPr="007D75F5" w:rsidTr="00CB5AFD">
        <w:trPr>
          <w:trHeight w:val="265"/>
        </w:trPr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HEMATÓCRITO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28-40%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19,9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16,6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12,3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 xml:space="preserve"> -- 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29,5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36,3</w:t>
            </w:r>
          </w:p>
        </w:tc>
      </w:tr>
      <w:tr w:rsidR="00944A9D" w:rsidRPr="007D75F5" w:rsidTr="00CB5AFD">
        <w:trPr>
          <w:trHeight w:val="265"/>
        </w:trPr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LEUCÓCITOS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6,5-18x1000/UL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>11,4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11,7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17,6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20,7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>14,7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12,2</w:t>
            </w:r>
          </w:p>
        </w:tc>
      </w:tr>
      <w:tr w:rsidR="00944A9D" w:rsidRPr="007D75F5" w:rsidTr="00CB5AFD">
        <w:trPr>
          <w:trHeight w:val="265"/>
        </w:trPr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NEUTRÓFILOS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25-45%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62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54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77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89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66,8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45,2</w:t>
            </w:r>
          </w:p>
        </w:tc>
      </w:tr>
      <w:tr w:rsidR="00944A9D" w:rsidRPr="007D75F5" w:rsidTr="00CB5AFD">
        <w:trPr>
          <w:trHeight w:val="265"/>
        </w:trPr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METAMIELOCITOS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0%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>0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>0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0</w:t>
            </w:r>
          </w:p>
        </w:tc>
      </w:tr>
      <w:tr w:rsidR="00944A9D" w:rsidRPr="007D75F5" w:rsidTr="00CB5AFD">
        <w:trPr>
          <w:trHeight w:val="265"/>
        </w:trPr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ind w:right="-49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BASTONETES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0-5%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9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>3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0</w:t>
            </w:r>
          </w:p>
        </w:tc>
      </w:tr>
      <w:tr w:rsidR="00944A9D" w:rsidRPr="007D75F5" w:rsidTr="00CB5AFD">
        <w:trPr>
          <w:trHeight w:val="265"/>
        </w:trPr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EOSINOFILOS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1-5%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>2,5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>2,7</w:t>
            </w:r>
          </w:p>
        </w:tc>
      </w:tr>
      <w:tr w:rsidR="00944A9D" w:rsidRPr="007D75F5" w:rsidTr="00CB5AFD">
        <w:trPr>
          <w:trHeight w:val="265"/>
        </w:trPr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MONOCITOS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2-10%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11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>7,4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9,9</w:t>
            </w:r>
          </w:p>
        </w:tc>
      </w:tr>
      <w:tr w:rsidR="00944A9D" w:rsidRPr="007D75F5" w:rsidTr="00CB5AFD">
        <w:trPr>
          <w:trHeight w:val="265"/>
        </w:trPr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LINFOCITOS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50-80%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33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19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21,8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40,9</w:t>
            </w:r>
          </w:p>
        </w:tc>
      </w:tr>
      <w:tr w:rsidR="00944A9D" w:rsidRPr="007D75F5" w:rsidTr="00CB5AFD">
        <w:trPr>
          <w:trHeight w:val="265"/>
        </w:trPr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PLAQUETAS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150-450x1000/UL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31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103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00B0F0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00B0F0"/>
                <w:sz w:val="16"/>
                <w:szCs w:val="16"/>
                <w:lang w:eastAsia="pt-BR"/>
              </w:rPr>
              <w:t>95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>382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>428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240</w:t>
            </w:r>
          </w:p>
        </w:tc>
      </w:tr>
      <w:tr w:rsidR="00944A9D" w:rsidRPr="007D75F5" w:rsidTr="00CB5AFD">
        <w:trPr>
          <w:trHeight w:val="265"/>
        </w:trPr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C3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90-180mg/dL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155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 --</w:t>
            </w:r>
          </w:p>
        </w:tc>
      </w:tr>
      <w:tr w:rsidR="00944A9D" w:rsidRPr="007D75F5" w:rsidTr="00CB5AFD">
        <w:trPr>
          <w:trHeight w:val="265"/>
        </w:trPr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C4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10-40 mg/dL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 --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jc w:val="center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 --</w:t>
            </w:r>
          </w:p>
        </w:tc>
      </w:tr>
      <w:tr w:rsidR="00944A9D" w:rsidRPr="007D75F5" w:rsidTr="00CB5AFD">
        <w:trPr>
          <w:trHeight w:val="265"/>
        </w:trPr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</w:tr>
      <w:tr w:rsidR="00944A9D" w:rsidRPr="007D75F5" w:rsidTr="0037193F">
        <w:trPr>
          <w:trHeight w:val="265"/>
        </w:trPr>
        <w:tc>
          <w:tcPr>
            <w:tcW w:w="2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Default="00944A9D" w:rsidP="00A23067">
            <w:pPr>
              <w:spacing w:after="0" w:line="240" w:lineRule="auto"/>
              <w:rPr>
                <w:rFonts w:cs="Calibri"/>
                <w:b/>
                <w:color w:val="5B5B5B"/>
                <w:sz w:val="16"/>
                <w:szCs w:val="16"/>
                <w:lang w:eastAsia="pt-BR"/>
              </w:rPr>
            </w:pPr>
          </w:p>
          <w:p w:rsidR="00944A9D" w:rsidRPr="00081D4A" w:rsidRDefault="00944A9D" w:rsidP="00A23067">
            <w:pPr>
              <w:spacing w:after="0" w:line="240" w:lineRule="auto"/>
              <w:rPr>
                <w:rFonts w:cs="Calibri"/>
                <w:b/>
                <w:color w:val="5B5B5B"/>
                <w:sz w:val="16"/>
                <w:szCs w:val="16"/>
                <w:u w:val="single"/>
                <w:lang w:eastAsia="pt-BR"/>
              </w:rPr>
            </w:pPr>
            <w:r w:rsidRPr="00081D4A">
              <w:rPr>
                <w:rFonts w:cs="Calibri"/>
                <w:b/>
                <w:color w:val="5B5B5B"/>
                <w:sz w:val="16"/>
                <w:szCs w:val="16"/>
                <w:u w:val="single"/>
                <w:lang w:eastAsia="pt-BR"/>
              </w:rPr>
              <w:t>Referências:</w:t>
            </w:r>
          </w:p>
          <w:p w:rsidR="00944A9D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  <w:p w:rsidR="00944A9D" w:rsidRPr="0037193F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>
              <w:rPr>
                <w:rFonts w:cs="Calibri"/>
                <w:color w:val="5B5B5B"/>
                <w:sz w:val="16"/>
                <w:szCs w:val="16"/>
                <w:lang w:eastAsia="pt-BR"/>
              </w:rPr>
              <w:t>DIH= Dia de Internação hospitalar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</w:tr>
      <w:tr w:rsidR="00944A9D" w:rsidRPr="007D75F5" w:rsidTr="00CB5AFD">
        <w:trPr>
          <w:trHeight w:val="265"/>
        </w:trPr>
        <w:tc>
          <w:tcPr>
            <w:tcW w:w="2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03580F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*exame </w:t>
            </w:r>
            <w:r>
              <w:rPr>
                <w:rFonts w:cs="Calibri"/>
                <w:color w:val="5B5B5B"/>
                <w:sz w:val="16"/>
                <w:szCs w:val="16"/>
                <w:lang w:eastAsia="pt-BR"/>
              </w:rPr>
              <w:t>antes do início da diá</w:t>
            </w: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lise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</w:tr>
      <w:tr w:rsidR="00944A9D" w:rsidRPr="007D75F5" w:rsidTr="00CB5AFD">
        <w:trPr>
          <w:trHeight w:val="265"/>
        </w:trPr>
        <w:tc>
          <w:tcPr>
            <w:tcW w:w="24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**exame 1 dia após o início da diálise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</w:tr>
      <w:tr w:rsidR="00944A9D" w:rsidRPr="007D75F5" w:rsidTr="00CB5AFD">
        <w:trPr>
          <w:trHeight w:val="265"/>
        </w:trPr>
        <w:tc>
          <w:tcPr>
            <w:tcW w:w="2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CB5AFD">
            <w:pPr>
              <w:tabs>
                <w:tab w:val="left" w:pos="1215"/>
              </w:tabs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*** alta da Unidade de Terapia </w:t>
            </w: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Intensiva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</w:tr>
      <w:tr w:rsidR="00944A9D" w:rsidRPr="007D75F5" w:rsidTr="00CB5AFD">
        <w:trPr>
          <w:trHeight w:val="265"/>
        </w:trPr>
        <w:tc>
          <w:tcPr>
            <w:tcW w:w="24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ascii="Arial" w:hAnsi="Arial" w:cs="Arial"/>
                <w:color w:val="5B5B5B"/>
                <w:sz w:val="16"/>
                <w:szCs w:val="16"/>
                <w:lang w:eastAsia="pt-BR"/>
              </w:rPr>
              <w:t>●</w:t>
            </w: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>1 dia antes da Alta hospitalar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</w:tr>
      <w:tr w:rsidR="00944A9D" w:rsidRPr="007D75F5" w:rsidTr="00CB5AFD">
        <w:trPr>
          <w:trHeight w:val="265"/>
        </w:trPr>
        <w:tc>
          <w:tcPr>
            <w:tcW w:w="2480" w:type="dxa"/>
            <w:gridSpan w:val="3"/>
            <w:tcBorders>
              <w:top w:val="nil"/>
              <w:left w:val="nil"/>
              <w:bottom w:val="single" w:sz="4" w:space="0" w:color="7A7A7A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  <w:r w:rsidRPr="00081129">
              <w:rPr>
                <w:rFonts w:ascii="Arial" w:hAnsi="Arial" w:cs="Arial"/>
                <w:color w:val="5B5B5B"/>
                <w:sz w:val="16"/>
                <w:szCs w:val="16"/>
                <w:lang w:eastAsia="pt-BR"/>
              </w:rPr>
              <w:t>●●</w:t>
            </w:r>
            <w:r w:rsidRPr="00081129">
              <w:rPr>
                <w:rFonts w:cs="Calibri"/>
                <w:color w:val="5B5B5B"/>
                <w:sz w:val="16"/>
                <w:szCs w:val="16"/>
                <w:lang w:eastAsia="pt-BR"/>
              </w:rPr>
              <w:t xml:space="preserve"> 66 dias após a alta hospitalar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7A7A7A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7A7A7A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7A7A7A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7A7A7A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7A7A7A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7A7A7A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7A7A7A"/>
              <w:right w:val="nil"/>
            </w:tcBorders>
            <w:shd w:val="clear" w:color="E4E4E4" w:fill="E4E4E4"/>
            <w:noWrap/>
            <w:vAlign w:val="bottom"/>
          </w:tcPr>
          <w:p w:rsidR="00944A9D" w:rsidRPr="00081129" w:rsidRDefault="00944A9D" w:rsidP="00A23067">
            <w:pPr>
              <w:spacing w:after="0" w:line="240" w:lineRule="auto"/>
              <w:rPr>
                <w:rFonts w:cs="Calibri"/>
                <w:color w:val="5B5B5B"/>
                <w:sz w:val="16"/>
                <w:szCs w:val="16"/>
                <w:lang w:eastAsia="pt-BR"/>
              </w:rPr>
            </w:pPr>
          </w:p>
        </w:tc>
      </w:tr>
    </w:tbl>
    <w:p w:rsidR="00944A9D" w:rsidRDefault="00944A9D" w:rsidP="0023052A">
      <w:pPr>
        <w:spacing w:before="100" w:beforeAutospacing="1" w:after="100" w:afterAutospacing="1" w:line="480" w:lineRule="auto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944A9D" w:rsidRDefault="00944A9D" w:rsidP="0023052A">
      <w:pPr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44A9D" w:rsidRDefault="00944A9D" w:rsidP="0023052A">
      <w:pPr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44A9D" w:rsidRDefault="00944A9D" w:rsidP="0023052A">
      <w:pPr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44A9D" w:rsidRDefault="00944A9D" w:rsidP="0023052A">
      <w:pPr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44A9D" w:rsidRDefault="00944A9D" w:rsidP="0005133E">
      <w:pPr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Referências bibliográficas:</w:t>
      </w:r>
    </w:p>
    <w:p w:rsidR="00944A9D" w:rsidRPr="003C1548" w:rsidRDefault="00944A9D" w:rsidP="0005133E">
      <w:pPr>
        <w:spacing w:line="480" w:lineRule="auto"/>
        <w:jc w:val="both"/>
        <w:rPr>
          <w:rFonts w:ascii="Times New Roman" w:hAnsi="Times New Roman"/>
          <w:b/>
          <w:sz w:val="24"/>
          <w:szCs w:val="24"/>
          <w:lang w:val="fr-FR"/>
        </w:rPr>
      </w:pPr>
      <w:r w:rsidRPr="003C1548">
        <w:rPr>
          <w:rFonts w:ascii="Times New Roman" w:hAnsi="Times New Roman"/>
          <w:sz w:val="24"/>
          <w:szCs w:val="24"/>
        </w:rPr>
        <w:t>1.</w:t>
      </w:r>
      <w:r w:rsidRPr="003C1548">
        <w:rPr>
          <w:rFonts w:ascii="Times New Roman" w:hAnsi="Times New Roman"/>
          <w:b/>
          <w:sz w:val="24"/>
          <w:szCs w:val="24"/>
        </w:rPr>
        <w:t xml:space="preserve"> </w:t>
      </w:r>
      <w:r w:rsidRPr="003C1548">
        <w:rPr>
          <w:rFonts w:ascii="Times New Roman" w:hAnsi="Times New Roman"/>
          <w:sz w:val="24"/>
          <w:szCs w:val="24"/>
        </w:rPr>
        <w:t xml:space="preserve">Banerjee S. Hemolytic Uremic Syndrome - Review article. </w:t>
      </w:r>
      <w:r w:rsidRPr="003C1548">
        <w:rPr>
          <w:rFonts w:ascii="Times New Roman" w:hAnsi="Times New Roman"/>
          <w:sz w:val="24"/>
          <w:szCs w:val="24"/>
          <w:lang w:val="fr-FR"/>
        </w:rPr>
        <w:t>Indian pediatrics 2009 Dez; volume 46.</w:t>
      </w:r>
    </w:p>
    <w:p w:rsidR="00944A9D" w:rsidRPr="004A4C6A" w:rsidRDefault="00944A9D" w:rsidP="00525D0E">
      <w:pPr>
        <w:autoSpaceDE w:val="0"/>
        <w:autoSpaceDN w:val="0"/>
        <w:adjustRightInd w:val="0"/>
        <w:spacing w:line="48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3C1548">
        <w:rPr>
          <w:rFonts w:ascii="Times New Roman" w:hAnsi="Times New Roman"/>
          <w:sz w:val="24"/>
          <w:szCs w:val="24"/>
          <w:lang w:val="fr-FR"/>
        </w:rPr>
        <w:t xml:space="preserve">2. Loirat C, Fremeaux-Bacchi V. Atypical Hemolytic Uremic Syndrome. </w:t>
      </w:r>
      <w:r w:rsidRPr="00045740">
        <w:rPr>
          <w:rFonts w:ascii="Times New Roman" w:hAnsi="Times New Roman"/>
          <w:sz w:val="24"/>
          <w:szCs w:val="24"/>
          <w:lang w:val="en-US"/>
        </w:rPr>
        <w:t>Orphanet Journal o</w:t>
      </w:r>
      <w:r>
        <w:rPr>
          <w:rFonts w:ascii="Times New Roman" w:hAnsi="Times New Roman"/>
          <w:sz w:val="24"/>
          <w:szCs w:val="24"/>
          <w:lang w:val="en-US"/>
        </w:rPr>
        <w:t>f Rare D</w:t>
      </w:r>
      <w:r w:rsidRPr="004A4C6A">
        <w:rPr>
          <w:rFonts w:ascii="Times New Roman" w:hAnsi="Times New Roman"/>
          <w:sz w:val="24"/>
          <w:szCs w:val="24"/>
          <w:lang w:val="en-US"/>
        </w:rPr>
        <w:t>iseases 2011</w:t>
      </w:r>
      <w:r>
        <w:rPr>
          <w:rFonts w:ascii="Times New Roman" w:hAnsi="Times New Roman"/>
          <w:sz w:val="24"/>
          <w:szCs w:val="24"/>
          <w:lang w:val="en-US"/>
        </w:rPr>
        <w:t xml:space="preserve"> Dez;</w:t>
      </w:r>
      <w:r w:rsidRPr="004A4C6A">
        <w:rPr>
          <w:rFonts w:ascii="Times New Roman" w:hAnsi="Times New Roman"/>
          <w:sz w:val="24"/>
          <w:szCs w:val="24"/>
          <w:lang w:val="en-US"/>
        </w:rPr>
        <w:t xml:space="preserve"> 6:60. </w:t>
      </w:r>
    </w:p>
    <w:p w:rsidR="00944A9D" w:rsidRDefault="00944A9D" w:rsidP="00273A2E">
      <w:pPr>
        <w:spacing w:before="100" w:beforeAutospacing="1" w:after="100" w:afterAutospacing="1" w:line="480" w:lineRule="auto"/>
        <w:jc w:val="both"/>
        <w:outlineLvl w:val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3</w:t>
      </w:r>
      <w:r w:rsidRPr="004A4C6A">
        <w:rPr>
          <w:rFonts w:ascii="Times New Roman" w:hAnsi="Times New Roman"/>
          <w:sz w:val="24"/>
          <w:szCs w:val="24"/>
          <w:lang w:val="en-US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 xml:space="preserve"> Kumar V, Abbas AK, Fausto N, Aster J</w:t>
      </w:r>
      <w:r w:rsidRPr="007752E5">
        <w:rPr>
          <w:rFonts w:ascii="Times New Roman" w:hAnsi="Times New Roman"/>
          <w:sz w:val="24"/>
          <w:szCs w:val="24"/>
          <w:lang w:val="en-US"/>
        </w:rPr>
        <w:t>. Robbins and Cotran -</w:t>
      </w:r>
      <w:r w:rsidRPr="004A4C6A">
        <w:rPr>
          <w:rFonts w:ascii="Times New Roman" w:hAnsi="Times New Roman"/>
          <w:sz w:val="24"/>
          <w:szCs w:val="24"/>
          <w:lang w:val="en-US"/>
        </w:rPr>
        <w:t xml:space="preserve"> Pathologic basic of Disease. 8</w:t>
      </w:r>
      <w:r w:rsidRPr="004A4C6A">
        <w:rPr>
          <w:rFonts w:ascii="Times New Roman" w:hAnsi="Times New Roman"/>
          <w:sz w:val="24"/>
          <w:szCs w:val="24"/>
          <w:vertAlign w:val="superscript"/>
          <w:lang w:val="en-US"/>
        </w:rPr>
        <w:t>th</w:t>
      </w:r>
      <w:r w:rsidRPr="004A4C6A">
        <w:rPr>
          <w:rFonts w:ascii="Times New Roman" w:hAnsi="Times New Roman"/>
          <w:sz w:val="24"/>
          <w:szCs w:val="24"/>
          <w:lang w:val="en-US"/>
        </w:rPr>
        <w:t xml:space="preserve"> ed.</w:t>
      </w:r>
      <w:r>
        <w:rPr>
          <w:rFonts w:ascii="Times New Roman" w:hAnsi="Times New Roman"/>
          <w:sz w:val="24"/>
          <w:szCs w:val="24"/>
          <w:lang w:val="en-US"/>
        </w:rPr>
        <w:t xml:space="preserve"> [S.I.]:</w:t>
      </w:r>
      <w:r w:rsidRPr="007752E5">
        <w:rPr>
          <w:sz w:val="23"/>
          <w:szCs w:val="23"/>
          <w:lang w:val="en-US"/>
        </w:rPr>
        <w:t xml:space="preserve"> </w:t>
      </w:r>
      <w:r w:rsidRPr="007752E5">
        <w:rPr>
          <w:rFonts w:ascii="Times New Roman" w:hAnsi="Times New Roman"/>
          <w:sz w:val="24"/>
          <w:szCs w:val="24"/>
          <w:lang w:val="en-US"/>
        </w:rPr>
        <w:t>Elsevier</w:t>
      </w:r>
      <w:r>
        <w:rPr>
          <w:rFonts w:ascii="Times New Roman" w:hAnsi="Times New Roman"/>
          <w:sz w:val="24"/>
          <w:szCs w:val="24"/>
          <w:lang w:val="en-US"/>
        </w:rPr>
        <w:t>;</w:t>
      </w:r>
      <w:r w:rsidRPr="007752E5">
        <w:rPr>
          <w:rFonts w:ascii="Times New Roman" w:hAnsi="Times New Roman"/>
          <w:sz w:val="24"/>
          <w:szCs w:val="24"/>
          <w:lang w:val="en-US"/>
        </w:rPr>
        <w:t xml:space="preserve"> 2</w:t>
      </w:r>
      <w:r>
        <w:rPr>
          <w:rFonts w:ascii="Times New Roman" w:hAnsi="Times New Roman"/>
          <w:sz w:val="24"/>
          <w:szCs w:val="24"/>
          <w:lang w:val="en-US"/>
        </w:rPr>
        <w:t>010.</w:t>
      </w:r>
    </w:p>
    <w:p w:rsidR="00944A9D" w:rsidRPr="004A4C6A" w:rsidRDefault="00944A9D" w:rsidP="00273A2E">
      <w:pPr>
        <w:spacing w:before="100" w:beforeAutospacing="1" w:after="100" w:afterAutospacing="1" w:line="480" w:lineRule="auto"/>
        <w:jc w:val="both"/>
        <w:outlineLvl w:val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4</w:t>
      </w:r>
      <w:r w:rsidRPr="004A4C6A">
        <w:rPr>
          <w:rFonts w:ascii="Times New Roman" w:hAnsi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/>
          <w:sz w:val="24"/>
          <w:szCs w:val="24"/>
          <w:lang w:val="en-US"/>
        </w:rPr>
        <w:t>Mandell GL, Bennet JE, Dolin R</w:t>
      </w:r>
      <w:r w:rsidRPr="00CC099E">
        <w:rPr>
          <w:rFonts w:ascii="Times New Roman" w:hAnsi="Times New Roman"/>
          <w:sz w:val="24"/>
          <w:szCs w:val="24"/>
          <w:lang w:val="en-US"/>
        </w:rPr>
        <w:t>. Mandell, Douglas, and Bennett’s -</w:t>
      </w:r>
      <w:r w:rsidRPr="004A4C6A">
        <w:rPr>
          <w:rFonts w:ascii="Times New Roman" w:hAnsi="Times New Roman"/>
          <w:sz w:val="24"/>
          <w:szCs w:val="24"/>
          <w:lang w:val="en-US"/>
        </w:rPr>
        <w:t xml:space="preserve"> Principles and Practice of Infectious Diseases. 7</w:t>
      </w:r>
      <w:r w:rsidRPr="004A4C6A">
        <w:rPr>
          <w:rFonts w:ascii="Times New Roman" w:hAnsi="Times New Roman"/>
          <w:sz w:val="24"/>
          <w:szCs w:val="24"/>
          <w:vertAlign w:val="superscript"/>
          <w:lang w:val="en-US"/>
        </w:rPr>
        <w:t>th</w:t>
      </w:r>
      <w:r w:rsidRPr="004A4C6A">
        <w:rPr>
          <w:rFonts w:ascii="Times New Roman" w:hAnsi="Times New Roman"/>
          <w:sz w:val="24"/>
          <w:szCs w:val="24"/>
          <w:lang w:val="en-US"/>
        </w:rPr>
        <w:t xml:space="preserve"> ed. </w:t>
      </w:r>
      <w:r>
        <w:rPr>
          <w:rFonts w:ascii="Times New Roman" w:hAnsi="Times New Roman"/>
          <w:sz w:val="24"/>
          <w:szCs w:val="24"/>
          <w:lang w:val="en-US"/>
        </w:rPr>
        <w:t>[S.I.]: Churchill Livingstone; 2009.</w:t>
      </w:r>
    </w:p>
    <w:p w:rsidR="00944A9D" w:rsidRPr="002571C3" w:rsidRDefault="00944A9D" w:rsidP="002571C3">
      <w:pPr>
        <w:autoSpaceDE w:val="0"/>
        <w:autoSpaceDN w:val="0"/>
        <w:adjustRightInd w:val="0"/>
        <w:spacing w:before="100" w:beforeAutospacing="1" w:after="100" w:afterAutospacing="1" w:line="48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5</w:t>
      </w:r>
      <w:r w:rsidRPr="00045740">
        <w:rPr>
          <w:rFonts w:ascii="Times New Roman" w:hAnsi="Times New Roman"/>
          <w:sz w:val="24"/>
          <w:szCs w:val="24"/>
          <w:lang w:val="en-US"/>
        </w:rPr>
        <w:t xml:space="preserve">. Niaudet P. Treatment and prognosis of Shiga Escherichia coli (STEC) Hemolytic Uremic Syndrome (HUS) in children. </w:t>
      </w:r>
      <w:r w:rsidRPr="002571C3">
        <w:rPr>
          <w:rFonts w:ascii="Times New Roman" w:hAnsi="Times New Roman"/>
          <w:sz w:val="24"/>
          <w:szCs w:val="24"/>
        </w:rPr>
        <w:t>Up To Date 2013 Jul.</w:t>
      </w:r>
    </w:p>
    <w:p w:rsidR="00944A9D" w:rsidRPr="000075B4" w:rsidRDefault="00944A9D" w:rsidP="00273A2E">
      <w:pPr>
        <w:autoSpaceDE w:val="0"/>
        <w:autoSpaceDN w:val="0"/>
        <w:adjustRightInd w:val="0"/>
        <w:spacing w:before="100" w:beforeAutospacing="1" w:after="100" w:afterAutospacing="1" w:line="48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0075B4">
        <w:rPr>
          <w:rFonts w:ascii="Times New Roman" w:hAnsi="Times New Roman"/>
          <w:sz w:val="24"/>
          <w:szCs w:val="24"/>
        </w:rPr>
        <w:t>. Barbosa AP, D’Elia C. Condutas de urgência em Pediatria. 1ª ed. Rio de Janeiro: Atheneu; 2006.</w:t>
      </w:r>
    </w:p>
    <w:p w:rsidR="00944A9D" w:rsidRPr="0051080E" w:rsidRDefault="00944A9D" w:rsidP="00273A2E">
      <w:pPr>
        <w:autoSpaceDE w:val="0"/>
        <w:autoSpaceDN w:val="0"/>
        <w:adjustRightInd w:val="0"/>
        <w:spacing w:line="48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7</w:t>
      </w:r>
      <w:r w:rsidRPr="004A4C6A">
        <w:rPr>
          <w:rFonts w:ascii="Times New Roman" w:hAnsi="Times New Roman"/>
          <w:sz w:val="24"/>
          <w:szCs w:val="24"/>
          <w:lang w:val="en-US"/>
        </w:rPr>
        <w:t>. Niaudet</w:t>
      </w:r>
      <w:r>
        <w:rPr>
          <w:rFonts w:ascii="Times New Roman" w:hAnsi="Times New Roman"/>
          <w:sz w:val="24"/>
          <w:szCs w:val="24"/>
          <w:lang w:val="en-US"/>
        </w:rPr>
        <w:t xml:space="preserve"> P. </w:t>
      </w:r>
      <w:r w:rsidRPr="004A4C6A">
        <w:rPr>
          <w:rFonts w:ascii="Times New Roman" w:hAnsi="Times New Roman"/>
          <w:sz w:val="24"/>
          <w:szCs w:val="24"/>
          <w:lang w:val="en-US"/>
        </w:rPr>
        <w:t>Clinical manifestations and diagnosis of Shiga toxin associated (typical) hemolytic uremic syndrome in children</w:t>
      </w:r>
      <w:r>
        <w:rPr>
          <w:rFonts w:ascii="Times New Roman" w:hAnsi="Times New Roman"/>
          <w:sz w:val="24"/>
          <w:szCs w:val="24"/>
          <w:lang w:val="en-US"/>
        </w:rPr>
        <w:t xml:space="preserve">. </w:t>
      </w:r>
      <w:r w:rsidRPr="0051080E">
        <w:rPr>
          <w:rFonts w:ascii="Times New Roman" w:hAnsi="Times New Roman"/>
          <w:sz w:val="24"/>
          <w:szCs w:val="24"/>
          <w:lang w:val="en-US"/>
        </w:rPr>
        <w:t xml:space="preserve">Up To date 2013 Mar. </w:t>
      </w:r>
    </w:p>
    <w:p w:rsidR="00944A9D" w:rsidRPr="004A4C6A" w:rsidRDefault="00944A9D" w:rsidP="00273A2E">
      <w:pPr>
        <w:autoSpaceDE w:val="0"/>
        <w:autoSpaceDN w:val="0"/>
        <w:adjustRightInd w:val="0"/>
        <w:spacing w:line="48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8</w:t>
      </w:r>
      <w:r w:rsidRPr="0051080E">
        <w:rPr>
          <w:rFonts w:ascii="Times New Roman" w:hAnsi="Times New Roman"/>
          <w:sz w:val="24"/>
          <w:szCs w:val="24"/>
          <w:lang w:val="en-US"/>
        </w:rPr>
        <w:t xml:space="preserve">. Estra D, Wetzels JFM, Volokhina EB, Van Den Heuvel LP, Van de Kar NCAJ. </w:t>
      </w:r>
      <w:r w:rsidRPr="004A4C6A">
        <w:rPr>
          <w:rFonts w:ascii="Times New Roman" w:hAnsi="Times New Roman"/>
          <w:sz w:val="24"/>
          <w:szCs w:val="24"/>
          <w:lang w:val="en-US"/>
        </w:rPr>
        <w:t>A new era in the diagnosis and tratament of atypic</w:t>
      </w:r>
      <w:r>
        <w:rPr>
          <w:rFonts w:ascii="Times New Roman" w:hAnsi="Times New Roman"/>
          <w:sz w:val="24"/>
          <w:szCs w:val="24"/>
          <w:lang w:val="en-US"/>
        </w:rPr>
        <w:t>al haemolytic uraemic syndrome-</w:t>
      </w:r>
      <w:r w:rsidRPr="004A4C6A">
        <w:rPr>
          <w:rFonts w:ascii="Times New Roman" w:hAnsi="Times New Roman"/>
          <w:sz w:val="24"/>
          <w:szCs w:val="24"/>
          <w:lang w:val="en-US"/>
        </w:rPr>
        <w:t>Review. The Journal of Medicine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A4C6A">
        <w:rPr>
          <w:rFonts w:ascii="Times New Roman" w:hAnsi="Times New Roman"/>
          <w:sz w:val="24"/>
          <w:szCs w:val="24"/>
          <w:lang w:val="en-US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A4C6A">
        <w:rPr>
          <w:rFonts w:ascii="Times New Roman" w:hAnsi="Times New Roman"/>
          <w:sz w:val="24"/>
          <w:szCs w:val="24"/>
          <w:lang w:val="en-US"/>
        </w:rPr>
        <w:t>Netherlands</w:t>
      </w:r>
      <w:r>
        <w:rPr>
          <w:rFonts w:ascii="Times New Roman" w:hAnsi="Times New Roman"/>
          <w:sz w:val="24"/>
          <w:szCs w:val="24"/>
          <w:lang w:val="en-US"/>
        </w:rPr>
        <w:t xml:space="preserve"> 2012 April; Vol 70, n </w:t>
      </w:r>
      <w:r w:rsidRPr="004A4C6A">
        <w:rPr>
          <w:rFonts w:ascii="Times New Roman" w:hAnsi="Times New Roman"/>
          <w:sz w:val="24"/>
          <w:szCs w:val="24"/>
          <w:lang w:val="en-US"/>
        </w:rPr>
        <w:t xml:space="preserve">3. </w:t>
      </w:r>
    </w:p>
    <w:p w:rsidR="00944A9D" w:rsidRPr="004A4C6A" w:rsidRDefault="00944A9D" w:rsidP="00273A2E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9</w:t>
      </w:r>
      <w:r w:rsidRPr="004F4B7D">
        <w:rPr>
          <w:rFonts w:ascii="Times New Roman" w:hAnsi="Times New Roman"/>
          <w:sz w:val="24"/>
          <w:szCs w:val="24"/>
          <w:lang w:val="en-US"/>
        </w:rPr>
        <w:t>.</w:t>
      </w:r>
      <w:r w:rsidRPr="004A4C6A">
        <w:rPr>
          <w:rFonts w:ascii="Times New Roman" w:hAnsi="Times New Roman"/>
          <w:sz w:val="24"/>
          <w:szCs w:val="24"/>
          <w:lang w:val="en-US"/>
        </w:rPr>
        <w:t xml:space="preserve"> Hirt-Minko</w:t>
      </w:r>
      <w:r w:rsidRPr="002A0C0E">
        <w:rPr>
          <w:rFonts w:ascii="Times New Roman" w:hAnsi="Times New Roman"/>
          <w:sz w:val="24"/>
          <w:szCs w:val="24"/>
          <w:lang w:val="en-US"/>
        </w:rPr>
        <w:t>wski P, Dickenmann M, Schifferli JA. Atypical Hemolytic Uremic Syndrome: Update on the complement System and What is</w:t>
      </w:r>
      <w:r>
        <w:rPr>
          <w:rFonts w:ascii="Times New Roman" w:hAnsi="Times New Roman"/>
          <w:sz w:val="24"/>
          <w:szCs w:val="24"/>
          <w:lang w:val="en-US"/>
        </w:rPr>
        <w:t xml:space="preserve"> New. Nephron Clinical Practice</w:t>
      </w:r>
      <w:r w:rsidRPr="002A0C0E">
        <w:rPr>
          <w:rFonts w:ascii="Times New Roman" w:hAnsi="Times New Roman"/>
          <w:sz w:val="24"/>
          <w:szCs w:val="24"/>
          <w:lang w:val="en-US"/>
        </w:rPr>
        <w:t xml:space="preserve"> 2010</w:t>
      </w:r>
      <w:r>
        <w:rPr>
          <w:rFonts w:ascii="Times New Roman" w:hAnsi="Times New Roman"/>
          <w:sz w:val="24"/>
          <w:szCs w:val="24"/>
          <w:lang w:val="en-US"/>
        </w:rPr>
        <w:t xml:space="preserve"> Jan;</w:t>
      </w:r>
      <w:r w:rsidRPr="004A4C6A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114: p </w:t>
      </w:r>
      <w:r w:rsidRPr="004A4C6A">
        <w:rPr>
          <w:rFonts w:ascii="Times New Roman" w:hAnsi="Times New Roman"/>
          <w:sz w:val="24"/>
          <w:szCs w:val="24"/>
          <w:lang w:val="en-US"/>
        </w:rPr>
        <w:t>219-235.</w:t>
      </w:r>
    </w:p>
    <w:p w:rsidR="00944A9D" w:rsidRDefault="00944A9D" w:rsidP="0095384A">
      <w:pPr>
        <w:spacing w:before="100" w:beforeAutospacing="1" w:after="100" w:afterAutospacing="1" w:line="480" w:lineRule="auto"/>
        <w:jc w:val="both"/>
        <w:outlineLvl w:val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10</w:t>
      </w:r>
      <w:r w:rsidRPr="004A4C6A">
        <w:rPr>
          <w:rFonts w:ascii="Times New Roman" w:hAnsi="Times New Roman"/>
          <w:sz w:val="24"/>
          <w:szCs w:val="24"/>
          <w:lang w:val="en-US"/>
        </w:rPr>
        <w:t>. Taal</w:t>
      </w:r>
      <w:r>
        <w:rPr>
          <w:rFonts w:ascii="Times New Roman" w:hAnsi="Times New Roman"/>
          <w:sz w:val="24"/>
          <w:szCs w:val="24"/>
          <w:lang w:val="en-US"/>
        </w:rPr>
        <w:t xml:space="preserve"> MW</w:t>
      </w:r>
      <w:r w:rsidRPr="004A4C6A">
        <w:rPr>
          <w:rFonts w:ascii="Times New Roman" w:hAnsi="Times New Roman"/>
          <w:sz w:val="24"/>
          <w:szCs w:val="24"/>
          <w:lang w:val="en-US"/>
        </w:rPr>
        <w:t>, Chertow</w:t>
      </w:r>
      <w:r>
        <w:rPr>
          <w:rFonts w:ascii="Times New Roman" w:hAnsi="Times New Roman"/>
          <w:sz w:val="24"/>
          <w:szCs w:val="24"/>
          <w:lang w:val="en-US"/>
        </w:rPr>
        <w:t xml:space="preserve"> GM</w:t>
      </w:r>
      <w:r w:rsidRPr="004A4C6A">
        <w:rPr>
          <w:rFonts w:ascii="Times New Roman" w:hAnsi="Times New Roman"/>
          <w:sz w:val="24"/>
          <w:szCs w:val="24"/>
          <w:lang w:val="en-US"/>
        </w:rPr>
        <w:t>, Marsden</w:t>
      </w:r>
      <w:r>
        <w:rPr>
          <w:rFonts w:ascii="Times New Roman" w:hAnsi="Times New Roman"/>
          <w:sz w:val="24"/>
          <w:szCs w:val="24"/>
          <w:lang w:val="en-US"/>
        </w:rPr>
        <w:t xml:space="preserve"> PA</w:t>
      </w:r>
      <w:r w:rsidRPr="004A4C6A">
        <w:rPr>
          <w:rFonts w:ascii="Times New Roman" w:hAnsi="Times New Roman"/>
          <w:sz w:val="24"/>
          <w:szCs w:val="24"/>
          <w:lang w:val="en-US"/>
        </w:rPr>
        <w:t>, Skorecki</w:t>
      </w:r>
      <w:r>
        <w:rPr>
          <w:rFonts w:ascii="Times New Roman" w:hAnsi="Times New Roman"/>
          <w:sz w:val="24"/>
          <w:szCs w:val="24"/>
          <w:lang w:val="en-US"/>
        </w:rPr>
        <w:t xml:space="preserve"> K</w:t>
      </w:r>
      <w:r w:rsidRPr="004A4C6A">
        <w:rPr>
          <w:rFonts w:ascii="Times New Roman" w:hAnsi="Times New Roman"/>
          <w:sz w:val="24"/>
          <w:szCs w:val="24"/>
          <w:lang w:val="en-US"/>
        </w:rPr>
        <w:t>, Yu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A4C6A">
        <w:rPr>
          <w:rFonts w:ascii="Times New Roman" w:hAnsi="Times New Roman"/>
          <w:sz w:val="24"/>
          <w:szCs w:val="24"/>
          <w:lang w:val="en-US"/>
        </w:rPr>
        <w:t>AS</w:t>
      </w:r>
      <w:r>
        <w:rPr>
          <w:rFonts w:ascii="Times New Roman" w:hAnsi="Times New Roman"/>
          <w:sz w:val="24"/>
          <w:szCs w:val="24"/>
          <w:lang w:val="en-US"/>
        </w:rPr>
        <w:t>L</w:t>
      </w:r>
      <w:r w:rsidRPr="004A4C6A">
        <w:rPr>
          <w:rFonts w:ascii="Times New Roman" w:hAnsi="Times New Roman"/>
          <w:sz w:val="24"/>
          <w:szCs w:val="24"/>
          <w:lang w:val="en-US"/>
        </w:rPr>
        <w:t>, Brenner</w:t>
      </w:r>
      <w:r w:rsidRPr="00EC73F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A4C6A">
        <w:rPr>
          <w:rFonts w:ascii="Times New Roman" w:hAnsi="Times New Roman"/>
          <w:sz w:val="24"/>
          <w:szCs w:val="24"/>
          <w:lang w:val="en-US"/>
        </w:rPr>
        <w:t>B</w:t>
      </w:r>
      <w:r>
        <w:rPr>
          <w:rFonts w:ascii="Times New Roman" w:hAnsi="Times New Roman"/>
          <w:sz w:val="24"/>
          <w:szCs w:val="24"/>
          <w:lang w:val="en-US"/>
        </w:rPr>
        <w:t>M</w:t>
      </w:r>
      <w:r w:rsidRPr="004A4C6A">
        <w:rPr>
          <w:rFonts w:ascii="Times New Roman" w:hAnsi="Times New Roman"/>
          <w:sz w:val="24"/>
          <w:szCs w:val="24"/>
          <w:lang w:val="en-US"/>
        </w:rPr>
        <w:t xml:space="preserve">.  </w:t>
      </w:r>
      <w:r>
        <w:rPr>
          <w:rFonts w:ascii="Times New Roman" w:hAnsi="Times New Roman"/>
          <w:sz w:val="24"/>
          <w:szCs w:val="24"/>
          <w:lang w:val="en-US"/>
        </w:rPr>
        <w:t>Brenner and Rector's The Kidney.</w:t>
      </w:r>
      <w:r w:rsidRPr="004A4C6A">
        <w:rPr>
          <w:rFonts w:ascii="Times New Roman" w:hAnsi="Times New Roman"/>
          <w:sz w:val="24"/>
          <w:szCs w:val="24"/>
          <w:lang w:val="en-US"/>
        </w:rPr>
        <w:t xml:space="preserve"> 9</w:t>
      </w:r>
      <w:r w:rsidRPr="008A5209">
        <w:rPr>
          <w:rFonts w:ascii="Times New Roman" w:hAnsi="Times New Roman"/>
          <w:sz w:val="24"/>
          <w:szCs w:val="24"/>
          <w:vertAlign w:val="superscript"/>
          <w:lang w:val="en-US"/>
        </w:rPr>
        <w:t xml:space="preserve"> </w:t>
      </w:r>
      <w:r w:rsidRPr="004A4C6A">
        <w:rPr>
          <w:rFonts w:ascii="Times New Roman" w:hAnsi="Times New Roman"/>
          <w:sz w:val="24"/>
          <w:szCs w:val="24"/>
          <w:vertAlign w:val="superscript"/>
          <w:lang w:val="en-US"/>
        </w:rPr>
        <w:t>th</w:t>
      </w:r>
      <w:r w:rsidRPr="004A4C6A">
        <w:rPr>
          <w:rFonts w:ascii="Times New Roman" w:hAnsi="Times New Roman"/>
          <w:sz w:val="24"/>
          <w:szCs w:val="24"/>
          <w:lang w:val="en-US"/>
        </w:rPr>
        <w:t xml:space="preserve"> ed. </w:t>
      </w:r>
      <w:r>
        <w:rPr>
          <w:rFonts w:ascii="Times New Roman" w:hAnsi="Times New Roman"/>
          <w:sz w:val="24"/>
          <w:szCs w:val="24"/>
          <w:lang w:val="en-US"/>
        </w:rPr>
        <w:t>[S.I]: Elsevier; 2012.</w:t>
      </w:r>
    </w:p>
    <w:p w:rsidR="00944A9D" w:rsidRPr="004A4C6A" w:rsidRDefault="00944A9D" w:rsidP="0095384A">
      <w:pPr>
        <w:spacing w:before="100" w:beforeAutospacing="1" w:after="100" w:afterAutospacing="1" w:line="480" w:lineRule="auto"/>
        <w:jc w:val="both"/>
        <w:outlineLvl w:val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11</w:t>
      </w:r>
      <w:r w:rsidRPr="004A4C6A">
        <w:rPr>
          <w:rFonts w:ascii="Times New Roman" w:hAnsi="Times New Roman"/>
          <w:sz w:val="24"/>
          <w:szCs w:val="24"/>
          <w:lang w:val="en-US"/>
        </w:rPr>
        <w:t>. Niaudet</w:t>
      </w:r>
      <w:r>
        <w:rPr>
          <w:rFonts w:ascii="Times New Roman" w:hAnsi="Times New Roman"/>
          <w:sz w:val="24"/>
          <w:szCs w:val="24"/>
          <w:lang w:val="en-US"/>
        </w:rPr>
        <w:t xml:space="preserve"> P</w:t>
      </w:r>
      <w:r w:rsidRPr="004A4C6A">
        <w:rPr>
          <w:rFonts w:ascii="Times New Roman" w:hAnsi="Times New Roman"/>
          <w:sz w:val="24"/>
          <w:szCs w:val="24"/>
          <w:lang w:val="en-US"/>
        </w:rPr>
        <w:t xml:space="preserve">. Atypical Hemolytic Uremic Syndrome </w:t>
      </w:r>
      <w:r>
        <w:rPr>
          <w:rFonts w:ascii="Times New Roman" w:hAnsi="Times New Roman"/>
          <w:sz w:val="24"/>
          <w:szCs w:val="24"/>
          <w:lang w:val="en-US"/>
        </w:rPr>
        <w:t xml:space="preserve">in Children. Up To Date </w:t>
      </w:r>
      <w:r w:rsidRPr="004A4C6A">
        <w:rPr>
          <w:rFonts w:ascii="Times New Roman" w:hAnsi="Times New Roman"/>
          <w:sz w:val="24"/>
          <w:szCs w:val="24"/>
          <w:lang w:val="en-US"/>
        </w:rPr>
        <w:t>2012</w:t>
      </w:r>
      <w:r>
        <w:rPr>
          <w:rFonts w:ascii="Times New Roman" w:hAnsi="Times New Roman"/>
          <w:sz w:val="24"/>
          <w:szCs w:val="24"/>
          <w:lang w:val="en-US"/>
        </w:rPr>
        <w:t xml:space="preserve"> August</w:t>
      </w:r>
      <w:r w:rsidRPr="004A4C6A">
        <w:rPr>
          <w:rFonts w:ascii="Times New Roman" w:hAnsi="Times New Roman"/>
          <w:sz w:val="24"/>
          <w:szCs w:val="24"/>
          <w:lang w:val="en-US"/>
        </w:rPr>
        <w:t>.</w:t>
      </w:r>
    </w:p>
    <w:p w:rsidR="00944A9D" w:rsidRPr="000075B4" w:rsidRDefault="00944A9D" w:rsidP="0095384A">
      <w:pPr>
        <w:autoSpaceDE w:val="0"/>
        <w:autoSpaceDN w:val="0"/>
        <w:adjustRightInd w:val="0"/>
        <w:spacing w:before="100" w:beforeAutospacing="1" w:after="100" w:afterAutospacing="1" w:line="480" w:lineRule="auto"/>
        <w:jc w:val="both"/>
        <w:outlineLvl w:val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12</w:t>
      </w:r>
      <w:r w:rsidRPr="00340A07">
        <w:rPr>
          <w:rFonts w:ascii="Times New Roman" w:hAnsi="Times New Roman"/>
          <w:sz w:val="24"/>
          <w:szCs w:val="24"/>
          <w:lang w:val="en-US"/>
        </w:rPr>
        <w:t xml:space="preserve">. Niaudet P. </w:t>
      </w:r>
      <w:r w:rsidRPr="000075B4">
        <w:rPr>
          <w:rFonts w:ascii="Times New Roman" w:hAnsi="Times New Roman"/>
          <w:sz w:val="24"/>
          <w:szCs w:val="24"/>
          <w:lang w:val="en-US"/>
        </w:rPr>
        <w:t>Overview of Hemolytic Syndrome in Children, Up To Date 2013 Jul.</w:t>
      </w:r>
    </w:p>
    <w:p w:rsidR="00944A9D" w:rsidRPr="003C1548" w:rsidRDefault="00944A9D" w:rsidP="00525D0E">
      <w:pPr>
        <w:spacing w:before="100" w:beforeAutospacing="1" w:after="100" w:afterAutospacing="1" w:line="480" w:lineRule="auto"/>
        <w:jc w:val="both"/>
        <w:outlineLvl w:val="0"/>
        <w:rPr>
          <w:rFonts w:ascii="Times New Roman" w:hAnsi="Times New Roman"/>
          <w:sz w:val="24"/>
          <w:szCs w:val="24"/>
          <w:lang w:val="en-US"/>
        </w:rPr>
      </w:pPr>
      <w:r w:rsidRPr="004F4B7D">
        <w:rPr>
          <w:rFonts w:ascii="Times New Roman" w:hAnsi="Times New Roman"/>
          <w:sz w:val="24"/>
          <w:szCs w:val="24"/>
          <w:lang w:val="en-US"/>
        </w:rPr>
        <w:t>1</w:t>
      </w:r>
      <w:r>
        <w:rPr>
          <w:rFonts w:ascii="Times New Roman" w:hAnsi="Times New Roman"/>
          <w:sz w:val="24"/>
          <w:szCs w:val="24"/>
          <w:lang w:val="en-US"/>
        </w:rPr>
        <w:t>3</w:t>
      </w:r>
      <w:r w:rsidRPr="004F4B7D">
        <w:rPr>
          <w:rFonts w:ascii="Times New Roman" w:hAnsi="Times New Roman"/>
          <w:sz w:val="24"/>
          <w:szCs w:val="24"/>
          <w:lang w:val="en-US"/>
        </w:rPr>
        <w:t>. Copelovitch L, Kaplan BS. Streptococcus pneumonia - Associated Hemolytic</w:t>
      </w:r>
      <w:r w:rsidRPr="004A4C6A">
        <w:rPr>
          <w:rFonts w:ascii="Times New Roman" w:hAnsi="Times New Roman"/>
          <w:sz w:val="24"/>
          <w:szCs w:val="24"/>
          <w:lang w:val="en-US"/>
        </w:rPr>
        <w:t xml:space="preserve"> Uremic Syndrome: Classification and the Emergence of Serotype 19A. </w:t>
      </w:r>
      <w:r w:rsidRPr="003C1548">
        <w:rPr>
          <w:rFonts w:ascii="Times New Roman" w:hAnsi="Times New Roman"/>
          <w:sz w:val="24"/>
          <w:szCs w:val="24"/>
          <w:lang w:val="en-US"/>
        </w:rPr>
        <w:t>American Academy of Pediatrics 2010 Dez; p 125-174.</w:t>
      </w:r>
    </w:p>
    <w:p w:rsidR="00944A9D" w:rsidRPr="007A5AFD" w:rsidRDefault="00944A9D" w:rsidP="00525D0E">
      <w:pPr>
        <w:autoSpaceDE w:val="0"/>
        <w:autoSpaceDN w:val="0"/>
        <w:adjustRightInd w:val="0"/>
        <w:spacing w:before="100" w:beforeAutospacing="1" w:after="100" w:afterAutospacing="1" w:line="48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3C1548">
        <w:rPr>
          <w:rFonts w:ascii="Times New Roman" w:hAnsi="Times New Roman"/>
          <w:sz w:val="24"/>
          <w:szCs w:val="24"/>
          <w:lang w:val="en-US"/>
        </w:rPr>
        <w:t xml:space="preserve">14. Herrero-Morín JD, Fernández N, Santos F, Rey C, Málaga S. Casos Clínicos: Síndrome Hemolítico Urémico Asociado a Neumonía Neumocócica. </w:t>
      </w:r>
      <w:r>
        <w:rPr>
          <w:rFonts w:ascii="Times New Roman" w:hAnsi="Times New Roman"/>
          <w:sz w:val="24"/>
          <w:szCs w:val="24"/>
        </w:rPr>
        <w:t>Nefrología 2007;</w:t>
      </w:r>
      <w:r w:rsidRPr="007A5AFD">
        <w:rPr>
          <w:rFonts w:ascii="Times New Roman" w:hAnsi="Times New Roman"/>
          <w:sz w:val="24"/>
          <w:szCs w:val="24"/>
        </w:rPr>
        <w:t xml:space="preserve"> Volume</w:t>
      </w:r>
      <w:r>
        <w:rPr>
          <w:rFonts w:ascii="Times New Roman" w:hAnsi="Times New Roman"/>
          <w:sz w:val="24"/>
          <w:szCs w:val="24"/>
        </w:rPr>
        <w:t xml:space="preserve">n 27, n </w:t>
      </w:r>
      <w:r w:rsidRPr="007A5AFD">
        <w:rPr>
          <w:rFonts w:ascii="Times New Roman" w:hAnsi="Times New Roman"/>
          <w:sz w:val="24"/>
          <w:szCs w:val="24"/>
        </w:rPr>
        <w:t>4.</w:t>
      </w:r>
    </w:p>
    <w:p w:rsidR="00944A9D" w:rsidRDefault="00944A9D" w:rsidP="00525D0E">
      <w:pPr>
        <w:autoSpaceDE w:val="0"/>
        <w:autoSpaceDN w:val="0"/>
        <w:adjustRightInd w:val="0"/>
        <w:spacing w:before="100" w:beforeAutospacing="1" w:after="100" w:afterAutospacing="1" w:line="48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7A5AFD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5</w:t>
      </w:r>
      <w:r w:rsidRPr="007A5AFD">
        <w:rPr>
          <w:rFonts w:ascii="Times New Roman" w:hAnsi="Times New Roman"/>
          <w:sz w:val="24"/>
          <w:szCs w:val="24"/>
        </w:rPr>
        <w:t>. Venuto</w:t>
      </w:r>
      <w:r>
        <w:rPr>
          <w:rFonts w:ascii="Times New Roman" w:hAnsi="Times New Roman"/>
          <w:sz w:val="24"/>
          <w:szCs w:val="24"/>
        </w:rPr>
        <w:t xml:space="preserve"> C</w:t>
      </w:r>
      <w:r w:rsidRPr="007A5AFD">
        <w:rPr>
          <w:rFonts w:ascii="Times New Roman" w:hAnsi="Times New Roman"/>
          <w:sz w:val="24"/>
          <w:szCs w:val="24"/>
        </w:rPr>
        <w:t xml:space="preserve">A. Síndrome Hemolítico Urêmica:  Doença negligenciada ou pouco compreendida? </w:t>
      </w:r>
      <w:r w:rsidRPr="00A60E9B">
        <w:rPr>
          <w:rFonts w:ascii="Times New Roman" w:hAnsi="Times New Roman"/>
          <w:sz w:val="24"/>
          <w:szCs w:val="24"/>
        </w:rPr>
        <w:t>Brasília</w:t>
      </w:r>
      <w:r>
        <w:rPr>
          <w:rFonts w:ascii="Times New Roman" w:hAnsi="Times New Roman"/>
          <w:sz w:val="24"/>
          <w:szCs w:val="24"/>
        </w:rPr>
        <w:t xml:space="preserve">. </w:t>
      </w:r>
      <w:r w:rsidRPr="00A60E9B">
        <w:rPr>
          <w:rFonts w:ascii="Times New Roman" w:hAnsi="Times New Roman"/>
          <w:sz w:val="24"/>
          <w:szCs w:val="24"/>
        </w:rPr>
        <w:t>Monografia de Especialização em Pediatria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60E9B"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ospital Materno Infantil de Brasília;</w:t>
      </w:r>
      <w:r w:rsidRPr="00A60E9B">
        <w:rPr>
          <w:rFonts w:ascii="Times New Roman" w:hAnsi="Times New Roman"/>
          <w:sz w:val="24"/>
          <w:szCs w:val="24"/>
        </w:rPr>
        <w:t xml:space="preserve"> 2009</w:t>
      </w:r>
      <w:r>
        <w:rPr>
          <w:rFonts w:ascii="Times New Roman" w:hAnsi="Times New Roman"/>
          <w:sz w:val="24"/>
          <w:szCs w:val="24"/>
        </w:rPr>
        <w:t>.</w:t>
      </w:r>
    </w:p>
    <w:p w:rsidR="00944A9D" w:rsidRPr="001E077F" w:rsidRDefault="00944A9D" w:rsidP="00525D0E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</w:p>
    <w:p w:rsidR="00944A9D" w:rsidRPr="001E077F" w:rsidRDefault="00944A9D" w:rsidP="00525D0E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</w:p>
    <w:p w:rsidR="00944A9D" w:rsidRPr="001E077F" w:rsidRDefault="00944A9D" w:rsidP="00525D0E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</w:p>
    <w:p w:rsidR="00944A9D" w:rsidRPr="001E077F" w:rsidRDefault="00944A9D" w:rsidP="00525D0E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</w:p>
    <w:p w:rsidR="00944A9D" w:rsidRPr="001E077F" w:rsidRDefault="00944A9D" w:rsidP="00525D0E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</w:p>
    <w:p w:rsidR="00944A9D" w:rsidRPr="001E077F" w:rsidRDefault="00944A9D" w:rsidP="00525D0E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</w:p>
    <w:sectPr w:rsidR="00944A9D" w:rsidRPr="001E077F" w:rsidSect="00EF24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81EC2"/>
    <w:multiLevelType w:val="hybridMultilevel"/>
    <w:tmpl w:val="BC1AD940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22C33A4"/>
    <w:multiLevelType w:val="hybridMultilevel"/>
    <w:tmpl w:val="8EEC70B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E1E1B4E"/>
    <w:multiLevelType w:val="hybridMultilevel"/>
    <w:tmpl w:val="70F0253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69E7CE4"/>
    <w:multiLevelType w:val="hybridMultilevel"/>
    <w:tmpl w:val="FDF66556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EB4036A"/>
    <w:multiLevelType w:val="hybridMultilevel"/>
    <w:tmpl w:val="A3E4DE0E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080E"/>
    <w:rsid w:val="000075B4"/>
    <w:rsid w:val="00027669"/>
    <w:rsid w:val="0003580F"/>
    <w:rsid w:val="000361B0"/>
    <w:rsid w:val="00045740"/>
    <w:rsid w:val="0005133E"/>
    <w:rsid w:val="00073AB4"/>
    <w:rsid w:val="00081129"/>
    <w:rsid w:val="00081D4A"/>
    <w:rsid w:val="00087BCD"/>
    <w:rsid w:val="0009475E"/>
    <w:rsid w:val="00094A47"/>
    <w:rsid w:val="000E096F"/>
    <w:rsid w:val="00112A53"/>
    <w:rsid w:val="001446C9"/>
    <w:rsid w:val="00156638"/>
    <w:rsid w:val="001730ED"/>
    <w:rsid w:val="00183639"/>
    <w:rsid w:val="001848E9"/>
    <w:rsid w:val="001A32FD"/>
    <w:rsid w:val="001A3E3D"/>
    <w:rsid w:val="001B3B9C"/>
    <w:rsid w:val="001C38F4"/>
    <w:rsid w:val="001C4894"/>
    <w:rsid w:val="001E077F"/>
    <w:rsid w:val="001F05A0"/>
    <w:rsid w:val="001F187B"/>
    <w:rsid w:val="0020048B"/>
    <w:rsid w:val="00206337"/>
    <w:rsid w:val="00207598"/>
    <w:rsid w:val="002179A8"/>
    <w:rsid w:val="0023052A"/>
    <w:rsid w:val="00233247"/>
    <w:rsid w:val="00244DBE"/>
    <w:rsid w:val="002571C3"/>
    <w:rsid w:val="002704FE"/>
    <w:rsid w:val="00273A2E"/>
    <w:rsid w:val="002969B6"/>
    <w:rsid w:val="002A0C0E"/>
    <w:rsid w:val="002D39CC"/>
    <w:rsid w:val="002E0694"/>
    <w:rsid w:val="00322DFC"/>
    <w:rsid w:val="003404B4"/>
    <w:rsid w:val="00340A07"/>
    <w:rsid w:val="00344E9C"/>
    <w:rsid w:val="00360BAA"/>
    <w:rsid w:val="0037193F"/>
    <w:rsid w:val="003821D1"/>
    <w:rsid w:val="00387769"/>
    <w:rsid w:val="003A109A"/>
    <w:rsid w:val="003B397E"/>
    <w:rsid w:val="003B7640"/>
    <w:rsid w:val="003C1548"/>
    <w:rsid w:val="003C4675"/>
    <w:rsid w:val="003E7E92"/>
    <w:rsid w:val="0040370A"/>
    <w:rsid w:val="00407FE7"/>
    <w:rsid w:val="00416FCB"/>
    <w:rsid w:val="00422CB8"/>
    <w:rsid w:val="004271DD"/>
    <w:rsid w:val="00462EAD"/>
    <w:rsid w:val="00465BB3"/>
    <w:rsid w:val="00483431"/>
    <w:rsid w:val="0048548D"/>
    <w:rsid w:val="00485D2F"/>
    <w:rsid w:val="004A4C6A"/>
    <w:rsid w:val="004F2116"/>
    <w:rsid w:val="004F4B7D"/>
    <w:rsid w:val="0051080E"/>
    <w:rsid w:val="005179A0"/>
    <w:rsid w:val="00525D0E"/>
    <w:rsid w:val="00534501"/>
    <w:rsid w:val="00534BD8"/>
    <w:rsid w:val="00567AAF"/>
    <w:rsid w:val="005704B6"/>
    <w:rsid w:val="005A441B"/>
    <w:rsid w:val="005A5127"/>
    <w:rsid w:val="005B26DE"/>
    <w:rsid w:val="005B2862"/>
    <w:rsid w:val="005D25E0"/>
    <w:rsid w:val="005E41A1"/>
    <w:rsid w:val="005E4624"/>
    <w:rsid w:val="00602E32"/>
    <w:rsid w:val="00611786"/>
    <w:rsid w:val="00633980"/>
    <w:rsid w:val="006515C2"/>
    <w:rsid w:val="0065687F"/>
    <w:rsid w:val="006740CD"/>
    <w:rsid w:val="006742B2"/>
    <w:rsid w:val="00683482"/>
    <w:rsid w:val="006A3343"/>
    <w:rsid w:val="006C667A"/>
    <w:rsid w:val="006D0300"/>
    <w:rsid w:val="00705F98"/>
    <w:rsid w:val="007307D5"/>
    <w:rsid w:val="00741338"/>
    <w:rsid w:val="00762504"/>
    <w:rsid w:val="00766B2F"/>
    <w:rsid w:val="007752E5"/>
    <w:rsid w:val="00785AD0"/>
    <w:rsid w:val="007968D5"/>
    <w:rsid w:val="007A3303"/>
    <w:rsid w:val="007A5AFD"/>
    <w:rsid w:val="007D75F5"/>
    <w:rsid w:val="007E32DE"/>
    <w:rsid w:val="007F3619"/>
    <w:rsid w:val="007F4B84"/>
    <w:rsid w:val="007F6D26"/>
    <w:rsid w:val="00840F50"/>
    <w:rsid w:val="00844DE6"/>
    <w:rsid w:val="008543A6"/>
    <w:rsid w:val="008827CA"/>
    <w:rsid w:val="00885DF5"/>
    <w:rsid w:val="008A5209"/>
    <w:rsid w:val="008C0A90"/>
    <w:rsid w:val="008F7B14"/>
    <w:rsid w:val="00905980"/>
    <w:rsid w:val="00913959"/>
    <w:rsid w:val="00930B0D"/>
    <w:rsid w:val="00942D02"/>
    <w:rsid w:val="00944A9D"/>
    <w:rsid w:val="0095384A"/>
    <w:rsid w:val="00967597"/>
    <w:rsid w:val="009716B8"/>
    <w:rsid w:val="009828E9"/>
    <w:rsid w:val="00985360"/>
    <w:rsid w:val="00992A99"/>
    <w:rsid w:val="00994AAD"/>
    <w:rsid w:val="009B2280"/>
    <w:rsid w:val="00A17675"/>
    <w:rsid w:val="00A23067"/>
    <w:rsid w:val="00A23794"/>
    <w:rsid w:val="00A275BF"/>
    <w:rsid w:val="00A3568E"/>
    <w:rsid w:val="00A40E40"/>
    <w:rsid w:val="00A5171F"/>
    <w:rsid w:val="00A5289B"/>
    <w:rsid w:val="00A547AC"/>
    <w:rsid w:val="00A60E9B"/>
    <w:rsid w:val="00A62B6E"/>
    <w:rsid w:val="00A64975"/>
    <w:rsid w:val="00A9474A"/>
    <w:rsid w:val="00A95A0F"/>
    <w:rsid w:val="00AA6945"/>
    <w:rsid w:val="00AC7E7A"/>
    <w:rsid w:val="00AD5357"/>
    <w:rsid w:val="00AE783B"/>
    <w:rsid w:val="00AF087D"/>
    <w:rsid w:val="00AF14E3"/>
    <w:rsid w:val="00B012BC"/>
    <w:rsid w:val="00B01AD9"/>
    <w:rsid w:val="00B01FF6"/>
    <w:rsid w:val="00B12880"/>
    <w:rsid w:val="00B275D0"/>
    <w:rsid w:val="00B7350B"/>
    <w:rsid w:val="00B767D1"/>
    <w:rsid w:val="00B77A9F"/>
    <w:rsid w:val="00B82BF3"/>
    <w:rsid w:val="00B93CDD"/>
    <w:rsid w:val="00B941FC"/>
    <w:rsid w:val="00BA78A0"/>
    <w:rsid w:val="00BA79E4"/>
    <w:rsid w:val="00BB2CC2"/>
    <w:rsid w:val="00BF6530"/>
    <w:rsid w:val="00C00988"/>
    <w:rsid w:val="00C015BF"/>
    <w:rsid w:val="00C123F8"/>
    <w:rsid w:val="00C20AB4"/>
    <w:rsid w:val="00C41BAA"/>
    <w:rsid w:val="00C42240"/>
    <w:rsid w:val="00C5394B"/>
    <w:rsid w:val="00C53CC5"/>
    <w:rsid w:val="00C57501"/>
    <w:rsid w:val="00C71364"/>
    <w:rsid w:val="00C870CA"/>
    <w:rsid w:val="00C96C3A"/>
    <w:rsid w:val="00CA1386"/>
    <w:rsid w:val="00CA61A8"/>
    <w:rsid w:val="00CB21F7"/>
    <w:rsid w:val="00CB5AFD"/>
    <w:rsid w:val="00CC099E"/>
    <w:rsid w:val="00CC3C7C"/>
    <w:rsid w:val="00CC606D"/>
    <w:rsid w:val="00CC7661"/>
    <w:rsid w:val="00CE10E8"/>
    <w:rsid w:val="00CE3983"/>
    <w:rsid w:val="00CE5F9C"/>
    <w:rsid w:val="00D02611"/>
    <w:rsid w:val="00D04725"/>
    <w:rsid w:val="00D22C76"/>
    <w:rsid w:val="00D43385"/>
    <w:rsid w:val="00D63F75"/>
    <w:rsid w:val="00D64E4F"/>
    <w:rsid w:val="00D720EE"/>
    <w:rsid w:val="00D91092"/>
    <w:rsid w:val="00DA6720"/>
    <w:rsid w:val="00DC26B2"/>
    <w:rsid w:val="00DE138A"/>
    <w:rsid w:val="00DE3158"/>
    <w:rsid w:val="00DF17C6"/>
    <w:rsid w:val="00DF3256"/>
    <w:rsid w:val="00DF759A"/>
    <w:rsid w:val="00E000C6"/>
    <w:rsid w:val="00E14D72"/>
    <w:rsid w:val="00E15121"/>
    <w:rsid w:val="00E15329"/>
    <w:rsid w:val="00E23598"/>
    <w:rsid w:val="00E26787"/>
    <w:rsid w:val="00E34615"/>
    <w:rsid w:val="00E37825"/>
    <w:rsid w:val="00E83A19"/>
    <w:rsid w:val="00E92C01"/>
    <w:rsid w:val="00EA1E15"/>
    <w:rsid w:val="00EB10C7"/>
    <w:rsid w:val="00EB1AE2"/>
    <w:rsid w:val="00EC5AE4"/>
    <w:rsid w:val="00EC617B"/>
    <w:rsid w:val="00EC6B5F"/>
    <w:rsid w:val="00EC73F1"/>
    <w:rsid w:val="00EE4A95"/>
    <w:rsid w:val="00EF24D0"/>
    <w:rsid w:val="00F1213D"/>
    <w:rsid w:val="00F37BB7"/>
    <w:rsid w:val="00F441B4"/>
    <w:rsid w:val="00F462EF"/>
    <w:rsid w:val="00F510A9"/>
    <w:rsid w:val="00F90937"/>
    <w:rsid w:val="00FA424B"/>
    <w:rsid w:val="00FA69DD"/>
    <w:rsid w:val="00FB0042"/>
    <w:rsid w:val="00FC60CD"/>
    <w:rsid w:val="00FD37E5"/>
    <w:rsid w:val="00FE2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61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ps">
    <w:name w:val="hps"/>
    <w:basedOn w:val="DefaultParagraphFont"/>
    <w:uiPriority w:val="99"/>
    <w:rsid w:val="00705F98"/>
    <w:rPr>
      <w:rFonts w:cs="Times New Roman"/>
    </w:rPr>
  </w:style>
  <w:style w:type="character" w:customStyle="1" w:styleId="atn">
    <w:name w:val="atn"/>
    <w:basedOn w:val="DefaultParagraphFont"/>
    <w:uiPriority w:val="99"/>
    <w:rsid w:val="00705F98"/>
    <w:rPr>
      <w:rFonts w:cs="Times New Roman"/>
    </w:rPr>
  </w:style>
  <w:style w:type="paragraph" w:styleId="NormalWeb">
    <w:name w:val="Normal (Web)"/>
    <w:basedOn w:val="Normal"/>
    <w:uiPriority w:val="99"/>
    <w:semiHidden/>
    <w:rsid w:val="00244D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3"/>
      <w:szCs w:val="23"/>
      <w:lang w:eastAsia="pt-BR"/>
    </w:rPr>
  </w:style>
  <w:style w:type="paragraph" w:customStyle="1" w:styleId="ListaColorida-nfase11">
    <w:name w:val="Lista Colorida - Ênfase 11"/>
    <w:basedOn w:val="Normal"/>
    <w:uiPriority w:val="99"/>
    <w:rsid w:val="008A5209"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D63F75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3C154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668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6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68819">
              <w:marLeft w:val="450"/>
              <w:marRight w:val="90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6880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8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66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3668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6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68808">
              <w:marLeft w:val="450"/>
              <w:marRight w:val="90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6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66881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3668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6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8D8D8D"/>
                <w:right w:val="none" w:sz="0" w:space="0" w:color="auto"/>
              </w:divBdr>
              <w:divsChild>
                <w:div w:id="150366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3668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6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8D8D8D"/>
                <w:right w:val="none" w:sz="0" w:space="0" w:color="auto"/>
              </w:divBdr>
              <w:divsChild>
                <w:div w:id="150366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ulomargotto.com.br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iliane\Downloads\Leiliane_201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Leiliane_2013.dot</Template>
  <TotalTime>3</TotalTime>
  <Pages>11</Pages>
  <Words>2331</Words>
  <Characters>12591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do Estado de Saúde do Distrito Federal</dc:title>
  <dc:subject/>
  <dc:creator>Leiliane</dc:creator>
  <cp:keywords/>
  <dc:description/>
  <cp:lastModifiedBy>Paulo</cp:lastModifiedBy>
  <cp:revision>2</cp:revision>
  <dcterms:created xsi:type="dcterms:W3CDTF">2014-06-27T18:02:00Z</dcterms:created>
  <dcterms:modified xsi:type="dcterms:W3CDTF">2014-06-27T18:02:00Z</dcterms:modified>
</cp:coreProperties>
</file>